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60" w:lineRule="exact"/>
        <w:jc w:val="center"/>
        <w:rPr>
          <w:rFonts w:ascii="黑体" w:hAnsi="黑体" w:eastAsia="黑体"/>
          <w:b/>
          <w:sz w:val="40"/>
        </w:rPr>
      </w:pPr>
      <w:bookmarkStart w:id="0" w:name="_GoBack"/>
      <w:r>
        <w:rPr>
          <w:rFonts w:hint="eastAsia" w:ascii="方正小标宋简体" w:hAnsi="方正小标宋简体" w:eastAsia="方正小标宋简体" w:cs="方正小标宋简体"/>
          <w:b/>
          <w:sz w:val="40"/>
        </w:rPr>
        <w:t>询    价   公   告</w:t>
      </w:r>
      <w:bookmarkEnd w:id="0"/>
    </w:p>
    <w:p>
      <w:pPr>
        <w:spacing w:line="560" w:lineRule="exact"/>
        <w:jc w:val="left"/>
        <w:rPr>
          <w:rFonts w:asciiTheme="minorEastAsia" w:hAnsiTheme="minorEastAsia"/>
          <w:sz w:val="28"/>
        </w:rPr>
      </w:pPr>
      <w:r>
        <w:rPr>
          <w:rFonts w:hint="eastAsia" w:asciiTheme="minorEastAsia" w:hAnsiTheme="minorEastAsia"/>
          <w:sz w:val="28"/>
        </w:rPr>
        <w:t xml:space="preserve">    </w:t>
      </w:r>
    </w:p>
    <w:p>
      <w:pPr>
        <w:adjustRightInd w:val="0"/>
        <w:snapToGrid w:val="0"/>
        <w:spacing w:line="560" w:lineRule="exact"/>
        <w:ind w:right="45" w:firstLine="560" w:firstLineChars="200"/>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广州白云供销物资回收有限公司对嘉禾街</w:t>
      </w:r>
      <w:r>
        <w:rPr>
          <w:rFonts w:hint="eastAsia" w:ascii="仿宋_GB2312" w:hAnsi="仿宋_GB2312" w:eastAsia="仿宋_GB2312" w:cs="仿宋_GB2312"/>
          <w:sz w:val="28"/>
          <w:szCs w:val="28"/>
          <w:lang w:eastAsia="zh-CN"/>
        </w:rPr>
        <w:t>可回收物体系合作建设</w:t>
      </w:r>
      <w:r>
        <w:rPr>
          <w:rFonts w:hint="eastAsia" w:ascii="仿宋_GB2312" w:hAnsi="仿宋_GB2312" w:eastAsia="仿宋_GB2312" w:cs="仿宋_GB2312"/>
          <w:sz w:val="28"/>
          <w:szCs w:val="28"/>
        </w:rPr>
        <w:t>项目进行可行性研究报告的编制以公开询价的方式采购服务，欢迎具备相应资格的企业报名，公告如下：</w:t>
      </w:r>
    </w:p>
    <w:p>
      <w:pPr>
        <w:spacing w:before="240" w:line="560" w:lineRule="exact"/>
        <w:jc w:val="left"/>
        <w:rPr>
          <w:rFonts w:ascii="仿宋_GB2312" w:hAnsi="仿宋_GB2312" w:eastAsia="仿宋_GB2312" w:cs="仿宋_GB2312"/>
          <w:b/>
          <w:sz w:val="28"/>
          <w:szCs w:val="28"/>
        </w:rPr>
      </w:pPr>
      <w:r>
        <w:rPr>
          <w:rFonts w:hint="eastAsia" w:ascii="仿宋_GB2312" w:hAnsi="仿宋_GB2312" w:eastAsia="仿宋_GB2312" w:cs="仿宋_GB2312"/>
          <w:b/>
          <w:sz w:val="28"/>
          <w:szCs w:val="28"/>
        </w:rPr>
        <w:t>一、项目概况</w:t>
      </w:r>
    </w:p>
    <w:p>
      <w:pPr>
        <w:pageBreakBefore w:val="0"/>
        <w:widowControl w:val="0"/>
        <w:kinsoku/>
        <w:wordWrap/>
        <w:overflowPunct/>
        <w:topLinePunct w:val="0"/>
        <w:bidi w:val="0"/>
        <w:adjustRightInd/>
        <w:snapToGrid/>
        <w:spacing w:line="560" w:lineRule="exact"/>
        <w:ind w:firstLine="560"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项目名称：嘉禾街</w:t>
      </w:r>
      <w:r>
        <w:rPr>
          <w:rFonts w:hint="eastAsia" w:ascii="仿宋_GB2312" w:hAnsi="仿宋_GB2312" w:eastAsia="仿宋_GB2312" w:cs="仿宋_GB2312"/>
          <w:sz w:val="28"/>
          <w:szCs w:val="28"/>
          <w:lang w:eastAsia="zh-CN"/>
        </w:rPr>
        <w:t>可回收物体系合作建设</w:t>
      </w:r>
      <w:r>
        <w:rPr>
          <w:rFonts w:hint="eastAsia" w:ascii="仿宋_GB2312" w:hAnsi="仿宋_GB2312" w:eastAsia="仿宋_GB2312" w:cs="仿宋_GB2312"/>
          <w:sz w:val="28"/>
          <w:szCs w:val="28"/>
        </w:rPr>
        <w:t>项目</w:t>
      </w:r>
    </w:p>
    <w:p>
      <w:pPr>
        <w:pageBreakBefore w:val="0"/>
        <w:widowControl w:val="0"/>
        <w:kinsoku/>
        <w:wordWrap/>
        <w:overflowPunct/>
        <w:topLinePunct w:val="0"/>
        <w:bidi w:val="0"/>
        <w:adjustRightInd/>
        <w:snapToGrid/>
        <w:spacing w:line="560" w:lineRule="exact"/>
        <w:ind w:firstLine="560" w:firstLineChars="200"/>
        <w:textAlignment w:val="auto"/>
        <w:rPr>
          <w:rFonts w:ascii="仿宋_GB2312" w:hAnsi="仿宋_GB2312" w:eastAsia="仿宋_GB2312" w:cs="仿宋_GB2312"/>
          <w:sz w:val="28"/>
          <w:szCs w:val="28"/>
        </w:rPr>
      </w:pPr>
      <w:r>
        <w:rPr>
          <w:rFonts w:hint="eastAsia" w:ascii="仿宋_GB2312" w:hAnsi="仿宋_GB2312" w:eastAsia="仿宋_GB2312" w:cs="仿宋_GB2312"/>
          <w:sz w:val="28"/>
          <w:szCs w:val="28"/>
        </w:rPr>
        <w:t>项目地址：白云区嘉禾街</w:t>
      </w:r>
    </w:p>
    <w:p>
      <w:pPr>
        <w:pageBreakBefore w:val="0"/>
        <w:widowControl w:val="0"/>
        <w:kinsoku/>
        <w:wordWrap/>
        <w:overflowPunct/>
        <w:topLinePunct w:val="0"/>
        <w:bidi w:val="0"/>
        <w:adjustRightInd/>
        <w:snapToGrid/>
        <w:spacing w:line="560" w:lineRule="exact"/>
        <w:ind w:firstLine="560" w:firstLineChars="200"/>
        <w:jc w:val="left"/>
        <w:textAlignment w:val="auto"/>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rPr>
        <w:t>项目规划：总建筑面积约1000㎡，二层</w:t>
      </w:r>
      <w:r>
        <w:rPr>
          <w:rFonts w:hint="eastAsia" w:ascii="仿宋_GB2312" w:hAnsi="仿宋_GB2312" w:eastAsia="仿宋_GB2312" w:cs="仿宋_GB2312"/>
          <w:sz w:val="28"/>
          <w:szCs w:val="28"/>
          <w:lang w:eastAsia="zh-CN"/>
        </w:rPr>
        <w:t>（含</w:t>
      </w:r>
      <w:r>
        <w:rPr>
          <w:rFonts w:hint="eastAsia" w:ascii="仿宋_GB2312" w:hAnsi="仿宋_GB2312" w:eastAsia="仿宋_GB2312" w:cs="仿宋_GB2312"/>
          <w:sz w:val="28"/>
          <w:szCs w:val="28"/>
          <w:lang w:val="en-US" w:eastAsia="zh-CN"/>
        </w:rPr>
        <w:t>7个“两网融合”网点的设备配置）</w:t>
      </w:r>
    </w:p>
    <w:p>
      <w:pPr>
        <w:pStyle w:val="2"/>
        <w:pageBreakBefore w:val="0"/>
        <w:widowControl w:val="0"/>
        <w:kinsoku/>
        <w:wordWrap/>
        <w:overflowPunct/>
        <w:topLinePunct w:val="0"/>
        <w:bidi w:val="0"/>
        <w:adjustRightInd/>
        <w:snapToGrid/>
        <w:spacing w:line="560" w:lineRule="exact"/>
        <w:ind w:firstLine="560" w:firstLineChars="200"/>
        <w:textAlignment w:val="auto"/>
        <w:rPr>
          <w:rFonts w:eastAsia="仿宋_GB2312"/>
        </w:rPr>
      </w:pPr>
      <w:r>
        <w:rPr>
          <w:rFonts w:hint="eastAsia" w:ascii="仿宋_GB2312" w:hAnsi="仿宋_GB2312" w:eastAsia="仿宋_GB2312" w:cs="仿宋_GB2312"/>
          <w:b w:val="0"/>
          <w:bCs w:val="0"/>
          <w:sz w:val="28"/>
          <w:szCs w:val="28"/>
        </w:rPr>
        <w:t>项目总投资：约200万元</w:t>
      </w:r>
    </w:p>
    <w:p>
      <w:pPr>
        <w:spacing w:before="240" w:line="560" w:lineRule="exact"/>
        <w:jc w:val="left"/>
        <w:rPr>
          <w:rFonts w:ascii="仿宋_GB2312" w:hAnsi="仿宋_GB2312" w:eastAsia="仿宋_GB2312" w:cs="仿宋_GB2312"/>
          <w:b/>
          <w:sz w:val="28"/>
          <w:szCs w:val="28"/>
        </w:rPr>
      </w:pPr>
      <w:r>
        <w:rPr>
          <w:rFonts w:hint="eastAsia" w:ascii="仿宋_GB2312" w:hAnsi="仿宋_GB2312" w:eastAsia="仿宋_GB2312" w:cs="仿宋_GB2312"/>
          <w:b/>
          <w:sz w:val="28"/>
          <w:szCs w:val="28"/>
        </w:rPr>
        <w:t>二、服务内容</w:t>
      </w:r>
    </w:p>
    <w:p>
      <w:pPr>
        <w:spacing w:line="560" w:lineRule="exact"/>
        <w:ind w:firstLine="560" w:firstLineChars="200"/>
        <w:jc w:val="left"/>
        <w:rPr>
          <w:rFonts w:ascii="仿宋_GB2312" w:hAnsi="仿宋_GB2312" w:eastAsia="仿宋_GB2312" w:cs="仿宋_GB2312"/>
          <w:sz w:val="28"/>
          <w:szCs w:val="28"/>
        </w:rPr>
      </w:pPr>
      <w:r>
        <w:rPr>
          <w:rFonts w:hint="eastAsia" w:ascii="仿宋_GB2312" w:hAnsi="仿宋_GB2312" w:eastAsia="仿宋_GB2312" w:cs="仿宋_GB2312"/>
          <w:sz w:val="28"/>
          <w:szCs w:val="28"/>
          <w:lang w:eastAsia="zh-CN"/>
        </w:rPr>
        <w:t>嘉禾街需建设的资源集运中心和“两网融合”网点的设备配置</w:t>
      </w:r>
      <w:r>
        <w:rPr>
          <w:rFonts w:hint="eastAsia" w:ascii="仿宋_GB2312" w:hAnsi="仿宋_GB2312" w:eastAsia="仿宋_GB2312" w:cs="仿宋_GB2312"/>
          <w:sz w:val="28"/>
          <w:szCs w:val="28"/>
        </w:rPr>
        <w:t>作为</w:t>
      </w:r>
      <w:r>
        <w:rPr>
          <w:rFonts w:hint="eastAsia" w:ascii="仿宋_GB2312" w:hAnsi="仿宋_GB2312" w:eastAsia="仿宋_GB2312" w:cs="仿宋_GB2312"/>
          <w:sz w:val="28"/>
          <w:szCs w:val="28"/>
          <w:lang w:eastAsia="zh-CN"/>
        </w:rPr>
        <w:t>我司在嘉禾街开展可回收物体系建设的重要载体，</w:t>
      </w:r>
      <w:r>
        <w:rPr>
          <w:rFonts w:hint="eastAsia" w:ascii="仿宋_GB2312" w:hAnsi="仿宋_GB2312" w:eastAsia="仿宋_GB2312" w:cs="仿宋_GB2312"/>
          <w:sz w:val="28"/>
          <w:szCs w:val="28"/>
        </w:rPr>
        <w:t>服务商需对该项目的现状、选址、建设意向、</w:t>
      </w:r>
      <w:r>
        <w:rPr>
          <w:rFonts w:hint="eastAsia" w:ascii="仿宋_GB2312" w:hAnsi="仿宋_GB2312" w:eastAsia="仿宋_GB2312" w:cs="仿宋_GB2312"/>
          <w:sz w:val="28"/>
          <w:szCs w:val="28"/>
          <w:lang w:eastAsia="zh-CN"/>
        </w:rPr>
        <w:t>项目实施</w:t>
      </w:r>
      <w:r>
        <w:rPr>
          <w:rFonts w:hint="eastAsia" w:ascii="仿宋_GB2312" w:hAnsi="仿宋_GB2312" w:eastAsia="仿宋_GB2312" w:cs="仿宋_GB2312"/>
          <w:sz w:val="28"/>
          <w:szCs w:val="28"/>
        </w:rPr>
        <w:t>的必要性、技术与经济可行性、规划符合性、社会效益、</w:t>
      </w:r>
      <w:r>
        <w:rPr>
          <w:rFonts w:hint="eastAsia" w:ascii="仿宋_GB2312" w:hAnsi="仿宋_GB2312" w:eastAsia="仿宋_GB2312" w:cs="仿宋_GB2312"/>
          <w:sz w:val="28"/>
          <w:szCs w:val="28"/>
          <w:lang w:eastAsia="zh-CN"/>
        </w:rPr>
        <w:t>预期的投资收益、</w:t>
      </w:r>
      <w:r>
        <w:rPr>
          <w:rFonts w:hint="eastAsia" w:ascii="仿宋_GB2312" w:hAnsi="仿宋_GB2312" w:eastAsia="仿宋_GB2312" w:cs="仿宋_GB2312"/>
          <w:sz w:val="28"/>
          <w:szCs w:val="28"/>
        </w:rPr>
        <w:t>项目的风险评估及控制风险的措施等各方面进行分析，研究报告成果必须包括上述但不限于上述内容。</w:t>
      </w:r>
    </w:p>
    <w:p>
      <w:pPr>
        <w:spacing w:line="560" w:lineRule="exact"/>
        <w:ind w:firstLine="560" w:firstLineChars="200"/>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本工程最高限价：参考《国家计委关于印发建设项目前期工作咨询收费暂行规定的通知》（计价格[1999]1283号）及《转发国家计委关于印发建设项目前期工作咨询收费暂行规定的通知》（粤价［2000］8号）相关要求，结合我司实际工作需求，本次服务最高限价为34000元人民币，选择合理低价者作为服务单位。</w:t>
      </w:r>
    </w:p>
    <w:p>
      <w:pPr>
        <w:pStyle w:val="2"/>
        <w:rPr>
          <w:rFonts w:ascii="仿宋_GB2312" w:hAnsi="仿宋_GB2312" w:eastAsia="仿宋_GB2312" w:cs="仿宋_GB2312"/>
          <w:b w:val="0"/>
          <w:bCs w:val="0"/>
          <w:kern w:val="2"/>
          <w:sz w:val="28"/>
          <w:szCs w:val="28"/>
        </w:rPr>
      </w:pPr>
      <w:r>
        <w:rPr>
          <w:rFonts w:hint="eastAsia" w:ascii="仿宋_GB2312" w:hAnsi="仿宋_GB2312" w:eastAsia="仿宋_GB2312" w:cs="仿宋_GB2312"/>
          <w:b w:val="0"/>
          <w:bCs w:val="0"/>
          <w:kern w:val="2"/>
          <w:sz w:val="28"/>
          <w:szCs w:val="28"/>
        </w:rPr>
        <w:t xml:space="preserve">    可行性研究报告的编制时间：签订合同后</w:t>
      </w:r>
      <w:r>
        <w:rPr>
          <w:rFonts w:ascii="仿宋_GB2312" w:hAnsi="仿宋_GB2312" w:eastAsia="仿宋_GB2312" w:cs="仿宋_GB2312"/>
          <w:b w:val="0"/>
          <w:bCs w:val="0"/>
          <w:kern w:val="2"/>
          <w:sz w:val="28"/>
          <w:szCs w:val="28"/>
        </w:rPr>
        <w:t>3</w:t>
      </w:r>
      <w:r>
        <w:rPr>
          <w:rFonts w:hint="eastAsia" w:ascii="仿宋_GB2312" w:hAnsi="仿宋_GB2312" w:eastAsia="仿宋_GB2312" w:cs="仿宋_GB2312"/>
          <w:b w:val="0"/>
          <w:bCs w:val="0"/>
          <w:kern w:val="2"/>
          <w:sz w:val="28"/>
          <w:szCs w:val="28"/>
        </w:rPr>
        <w:t>个工作日内完成。</w:t>
      </w:r>
    </w:p>
    <w:p>
      <w:pPr>
        <w:spacing w:before="240" w:line="560" w:lineRule="exact"/>
        <w:jc w:val="left"/>
        <w:rPr>
          <w:rFonts w:ascii="仿宋_GB2312" w:hAnsi="仿宋_GB2312" w:eastAsia="仿宋_GB2312" w:cs="仿宋_GB2312"/>
          <w:b/>
          <w:sz w:val="28"/>
          <w:szCs w:val="28"/>
        </w:rPr>
      </w:pPr>
      <w:r>
        <w:rPr>
          <w:rFonts w:hint="eastAsia" w:ascii="仿宋_GB2312" w:hAnsi="仿宋_GB2312" w:eastAsia="仿宋_GB2312" w:cs="仿宋_GB2312"/>
          <w:b/>
          <w:sz w:val="28"/>
          <w:szCs w:val="28"/>
        </w:rPr>
        <w:t>三、合格报价人的资格要求</w:t>
      </w:r>
    </w:p>
    <w:p>
      <w:pPr>
        <w:spacing w:line="560" w:lineRule="exact"/>
        <w:ind w:firstLine="560" w:firstLineChars="200"/>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1.基本要求：报价人应具备《政府采购法》第二十二条规定的条件。具有独立法人资格，持有工商行政管理部门核发的企业法人营业执照。</w:t>
      </w:r>
    </w:p>
    <w:p>
      <w:pPr>
        <w:spacing w:line="560" w:lineRule="exact"/>
        <w:ind w:firstLine="560" w:firstLineChars="200"/>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2.企业资质：报价人必须为已通过全国投资项目在线审批监管平台备案的工程咨询单位（含建筑专业）。</w:t>
      </w:r>
    </w:p>
    <w:p>
      <w:pPr>
        <w:pStyle w:val="2"/>
        <w:spacing w:line="560" w:lineRule="exact"/>
        <w:ind w:firstLine="560" w:firstLineChars="200"/>
        <w:rPr>
          <w:rFonts w:ascii="仿宋_GB2312" w:hAnsi="仿宋_GB2312" w:eastAsia="仿宋_GB2312" w:cs="仿宋_GB2312"/>
          <w:b w:val="0"/>
          <w:bCs w:val="0"/>
          <w:kern w:val="2"/>
          <w:sz w:val="28"/>
          <w:szCs w:val="28"/>
        </w:rPr>
      </w:pPr>
      <w:r>
        <w:rPr>
          <w:rFonts w:hint="eastAsia" w:ascii="仿宋_GB2312" w:hAnsi="仿宋_GB2312" w:eastAsia="仿宋_GB2312" w:cs="仿宋_GB2312"/>
          <w:b w:val="0"/>
          <w:bCs w:val="0"/>
          <w:kern w:val="2"/>
          <w:sz w:val="28"/>
          <w:szCs w:val="28"/>
        </w:rPr>
        <w:t>3.本项目不接受有关联性质或历史关联性质的企业同时参与投标报价。</w:t>
      </w:r>
    </w:p>
    <w:p>
      <w:pPr>
        <w:spacing w:line="560" w:lineRule="exact"/>
        <w:ind w:firstLine="560" w:firstLineChars="200"/>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4.报价文件包含：报价表，及第六条所包含的投标材料。</w:t>
      </w:r>
    </w:p>
    <w:p>
      <w:pPr>
        <w:spacing w:line="560" w:lineRule="exact"/>
        <w:ind w:firstLine="560" w:firstLineChars="200"/>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5.本项目不接受联合体报价。</w:t>
      </w:r>
    </w:p>
    <w:p>
      <w:pPr>
        <w:spacing w:line="560" w:lineRule="exact"/>
        <w:ind w:firstLine="560" w:firstLineChars="200"/>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6.已登记报名的。</w:t>
      </w:r>
    </w:p>
    <w:p>
      <w:pPr>
        <w:spacing w:before="240" w:line="560" w:lineRule="exact"/>
        <w:jc w:val="left"/>
        <w:rPr>
          <w:rFonts w:ascii="仿宋_GB2312" w:hAnsi="仿宋_GB2312" w:eastAsia="仿宋_GB2312" w:cs="仿宋_GB2312"/>
          <w:b/>
          <w:sz w:val="28"/>
          <w:szCs w:val="28"/>
        </w:rPr>
      </w:pPr>
      <w:r>
        <w:rPr>
          <w:rFonts w:hint="eastAsia" w:ascii="仿宋_GB2312" w:hAnsi="仿宋_GB2312" w:eastAsia="仿宋_GB2312" w:cs="仿宋_GB2312"/>
          <w:b/>
          <w:sz w:val="28"/>
          <w:szCs w:val="28"/>
        </w:rPr>
        <w:t>四、勘查现场：</w:t>
      </w:r>
      <w:r>
        <w:rPr>
          <w:rFonts w:hint="eastAsia" w:ascii="仿宋_GB2312" w:hAnsi="仿宋_GB2312" w:eastAsia="仿宋_GB2312" w:cs="仿宋_GB2312"/>
          <w:sz w:val="28"/>
          <w:szCs w:val="28"/>
        </w:rPr>
        <w:t>报价人自行前往。</w:t>
      </w:r>
    </w:p>
    <w:p>
      <w:pPr>
        <w:spacing w:before="240" w:line="560" w:lineRule="exact"/>
        <w:jc w:val="left"/>
        <w:rPr>
          <w:rFonts w:ascii="仿宋_GB2312" w:hAnsi="仿宋_GB2312" w:eastAsia="仿宋_GB2312" w:cs="仿宋_GB2312"/>
          <w:sz w:val="28"/>
          <w:szCs w:val="28"/>
        </w:rPr>
      </w:pPr>
      <w:r>
        <w:rPr>
          <w:rFonts w:hint="eastAsia" w:ascii="仿宋_GB2312" w:hAnsi="仿宋_GB2312" w:eastAsia="仿宋_GB2312" w:cs="仿宋_GB2312"/>
          <w:b/>
          <w:sz w:val="28"/>
          <w:szCs w:val="28"/>
        </w:rPr>
        <w:t>五、结算方式：</w:t>
      </w:r>
      <w:r>
        <w:rPr>
          <w:rFonts w:hint="eastAsia" w:ascii="仿宋_GB2312" w:hAnsi="仿宋_GB2312" w:eastAsia="仿宋_GB2312" w:cs="仿宋_GB2312"/>
          <w:sz w:val="28"/>
          <w:szCs w:val="28"/>
        </w:rPr>
        <w:t>采用一口价全包干，结算时不予调整。</w:t>
      </w:r>
    </w:p>
    <w:p>
      <w:pPr>
        <w:spacing w:before="240" w:line="560" w:lineRule="exact"/>
        <w:jc w:val="left"/>
        <w:rPr>
          <w:rFonts w:ascii="仿宋_GB2312" w:hAnsi="仿宋_GB2312" w:eastAsia="仿宋_GB2312" w:cs="仿宋_GB2312"/>
          <w:b/>
          <w:sz w:val="28"/>
          <w:szCs w:val="28"/>
        </w:rPr>
      </w:pPr>
      <w:r>
        <w:rPr>
          <w:rFonts w:hint="eastAsia" w:ascii="仿宋_GB2312" w:hAnsi="仿宋_GB2312" w:eastAsia="仿宋_GB2312" w:cs="仿宋_GB2312"/>
          <w:b/>
          <w:sz w:val="28"/>
          <w:szCs w:val="28"/>
        </w:rPr>
        <w:t>六、投标资料</w:t>
      </w:r>
    </w:p>
    <w:p>
      <w:pPr>
        <w:snapToGrid w:val="0"/>
        <w:spacing w:line="560" w:lineRule="exact"/>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 xml:space="preserve">    1.营业执照复印件及法人代表身份证复印件。</w:t>
      </w:r>
    </w:p>
    <w:p>
      <w:pPr>
        <w:snapToGrid w:val="0"/>
        <w:spacing w:line="560" w:lineRule="exact"/>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 xml:space="preserve">    2.资质文件：需提供全国投资项目在线审批监管平台的页面截图并加盖单位公章。（其它相关资质文件可以一并提供复印件，此为非必须项）。</w:t>
      </w:r>
    </w:p>
    <w:p>
      <w:pPr>
        <w:snapToGrid w:val="0"/>
        <w:spacing w:line="560" w:lineRule="exact"/>
        <w:ind w:firstLine="570"/>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3.项目负责人相关执业证复印件及身份证复印件。</w:t>
      </w:r>
    </w:p>
    <w:p>
      <w:pPr>
        <w:snapToGrid w:val="0"/>
        <w:spacing w:line="560" w:lineRule="exact"/>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 xml:space="preserve">    </w:t>
      </w:r>
      <w:r>
        <w:rPr>
          <w:rFonts w:ascii="仿宋_GB2312" w:hAnsi="仿宋_GB2312" w:eastAsia="仿宋_GB2312" w:cs="仿宋_GB2312"/>
          <w:sz w:val="28"/>
          <w:szCs w:val="28"/>
        </w:rPr>
        <w:t>4</w:t>
      </w:r>
      <w:r>
        <w:rPr>
          <w:rFonts w:hint="eastAsia" w:ascii="仿宋_GB2312" w:hAnsi="仿宋_GB2312" w:eastAsia="仿宋_GB2312" w:cs="仿宋_GB2312"/>
          <w:sz w:val="28"/>
          <w:szCs w:val="28"/>
        </w:rPr>
        <w:t>.现场调研资料。</w:t>
      </w:r>
    </w:p>
    <w:p>
      <w:pPr>
        <w:snapToGrid w:val="0"/>
        <w:spacing w:line="560" w:lineRule="exact"/>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 xml:space="preserve">    </w:t>
      </w:r>
      <w:r>
        <w:rPr>
          <w:rFonts w:ascii="仿宋_GB2312" w:hAnsi="仿宋_GB2312" w:eastAsia="仿宋_GB2312" w:cs="仿宋_GB2312"/>
          <w:sz w:val="28"/>
          <w:szCs w:val="28"/>
        </w:rPr>
        <w:t>5</w:t>
      </w:r>
      <w:r>
        <w:rPr>
          <w:rFonts w:hint="eastAsia" w:ascii="仿宋_GB2312" w:hAnsi="仿宋_GB2312" w:eastAsia="仿宋_GB2312" w:cs="仿宋_GB2312"/>
          <w:sz w:val="28"/>
          <w:szCs w:val="28"/>
        </w:rPr>
        <w:t>.报价表。</w:t>
      </w:r>
    </w:p>
    <w:p>
      <w:pPr>
        <w:snapToGrid w:val="0"/>
        <w:spacing w:line="560" w:lineRule="exact"/>
        <w:ind w:firstLine="551" w:firstLineChars="197"/>
        <w:jc w:val="left"/>
        <w:rPr>
          <w:rFonts w:ascii="仿宋_GB2312" w:hAnsi="仿宋_GB2312" w:eastAsia="仿宋_GB2312" w:cs="仿宋_GB2312"/>
          <w:sz w:val="28"/>
          <w:szCs w:val="28"/>
          <w:u w:val="single"/>
        </w:rPr>
      </w:pPr>
      <w:r>
        <w:rPr>
          <w:rFonts w:hint="eastAsia" w:ascii="仿宋_GB2312" w:hAnsi="仿宋_GB2312" w:eastAsia="仿宋_GB2312" w:cs="仿宋_GB2312"/>
          <w:sz w:val="28"/>
          <w:szCs w:val="28"/>
          <w:u w:val="single"/>
        </w:rPr>
        <w:t>以上材料均须加盖公司公章，并用信封密封，密封处加盖公司公章。报价文件材料不按上述要求提供完整及符合要求的，作废标处理。符合报价资格及资料合规的投标单位不少于3家。</w:t>
      </w:r>
    </w:p>
    <w:p>
      <w:pPr>
        <w:spacing w:before="240" w:line="560" w:lineRule="exact"/>
        <w:jc w:val="left"/>
        <w:rPr>
          <w:rFonts w:ascii="仿宋_GB2312" w:hAnsi="仿宋_GB2312" w:eastAsia="仿宋_GB2312" w:cs="仿宋_GB2312"/>
          <w:b/>
          <w:sz w:val="28"/>
          <w:szCs w:val="28"/>
        </w:rPr>
      </w:pPr>
      <w:r>
        <w:rPr>
          <w:rFonts w:hint="eastAsia" w:ascii="仿宋_GB2312" w:hAnsi="仿宋_GB2312" w:eastAsia="仿宋_GB2312" w:cs="仿宋_GB2312"/>
          <w:b/>
          <w:sz w:val="28"/>
          <w:szCs w:val="28"/>
        </w:rPr>
        <w:t>七、获取招标文件</w:t>
      </w:r>
    </w:p>
    <w:p>
      <w:pPr>
        <w:snapToGrid w:val="0"/>
        <w:spacing w:line="560" w:lineRule="exact"/>
        <w:ind w:firstLine="551" w:firstLineChars="197"/>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1.公告及报名时间：2021年7月9日至2021年7月13日，工作日上午9时至下午5时。</w:t>
      </w:r>
    </w:p>
    <w:p>
      <w:pPr>
        <w:snapToGrid w:val="0"/>
        <w:spacing w:line="560" w:lineRule="exact"/>
        <w:ind w:firstLine="551" w:firstLineChars="197"/>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2.报名地点：广州市白云区白云大道南685号阁屏商务大厦四楼广州白云供销物资回收有限公司。</w:t>
      </w:r>
    </w:p>
    <w:p>
      <w:pPr>
        <w:snapToGrid w:val="0"/>
        <w:spacing w:line="560" w:lineRule="exact"/>
        <w:ind w:firstLine="551" w:firstLineChars="197"/>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3.获取文件方式：符合投标人资格要求的可在我司门户网站</w:t>
      </w:r>
      <w:r>
        <w:fldChar w:fldCharType="begin"/>
      </w:r>
      <w:r>
        <w:instrText xml:space="preserve"> HYPERLINK "http://www.bycoop.com" </w:instrText>
      </w:r>
      <w:r>
        <w:fldChar w:fldCharType="separate"/>
      </w:r>
      <w:r>
        <w:rPr>
          <w:rFonts w:hint="eastAsia" w:ascii="仿宋_GB2312" w:hAnsi="仿宋_GB2312" w:eastAsia="仿宋_GB2312" w:cs="仿宋_GB2312"/>
          <w:sz w:val="28"/>
          <w:szCs w:val="28"/>
        </w:rPr>
        <w:t>www.bycoop.com</w:t>
      </w:r>
      <w:r>
        <w:rPr>
          <w:rFonts w:hint="eastAsia" w:ascii="仿宋_GB2312" w:hAnsi="仿宋_GB2312" w:eastAsia="仿宋_GB2312" w:cs="仿宋_GB2312"/>
          <w:sz w:val="28"/>
          <w:szCs w:val="28"/>
        </w:rPr>
        <w:fldChar w:fldCharType="end"/>
      </w:r>
      <w:r>
        <w:rPr>
          <w:rFonts w:hint="eastAsia" w:ascii="仿宋_GB2312" w:hAnsi="仿宋_GB2312" w:eastAsia="仿宋_GB2312" w:cs="仿宋_GB2312"/>
          <w:sz w:val="28"/>
          <w:szCs w:val="28"/>
        </w:rPr>
        <w:t>下载报价表。（报名时提供：营业执照复印件、资质证书复印件、授权委托书原件等证明材料，上述资料盖公章，原件备查）。</w:t>
      </w:r>
    </w:p>
    <w:p>
      <w:pPr>
        <w:spacing w:before="240" w:line="560" w:lineRule="exact"/>
        <w:jc w:val="left"/>
        <w:rPr>
          <w:rFonts w:ascii="仿宋_GB2312" w:hAnsi="仿宋_GB2312" w:eastAsia="仿宋_GB2312" w:cs="仿宋_GB2312"/>
          <w:b/>
          <w:sz w:val="28"/>
          <w:szCs w:val="28"/>
        </w:rPr>
      </w:pPr>
      <w:r>
        <w:rPr>
          <w:rFonts w:hint="eastAsia" w:ascii="仿宋_GB2312" w:hAnsi="仿宋_GB2312" w:eastAsia="仿宋_GB2312" w:cs="仿宋_GB2312"/>
          <w:b/>
          <w:sz w:val="28"/>
          <w:szCs w:val="28"/>
        </w:rPr>
        <w:t>八、报价文件递交时间：</w:t>
      </w:r>
      <w:r>
        <w:rPr>
          <w:rFonts w:hint="eastAsia" w:ascii="仿宋_GB2312" w:hAnsi="仿宋_GB2312" w:eastAsia="仿宋_GB2312" w:cs="仿宋_GB2312"/>
          <w:sz w:val="28"/>
          <w:szCs w:val="28"/>
        </w:rPr>
        <w:t>2021年7月14日10时前。</w:t>
      </w:r>
    </w:p>
    <w:p>
      <w:pPr>
        <w:spacing w:before="240" w:line="560" w:lineRule="exact"/>
        <w:jc w:val="left"/>
        <w:rPr>
          <w:rFonts w:ascii="仿宋_GB2312" w:hAnsi="仿宋_GB2312" w:eastAsia="仿宋_GB2312" w:cs="仿宋_GB2312"/>
          <w:b/>
          <w:sz w:val="28"/>
          <w:szCs w:val="28"/>
        </w:rPr>
      </w:pPr>
      <w:r>
        <w:rPr>
          <w:rFonts w:hint="eastAsia" w:ascii="仿宋_GB2312" w:hAnsi="仿宋_GB2312" w:eastAsia="仿宋_GB2312" w:cs="仿宋_GB2312"/>
          <w:b/>
          <w:sz w:val="28"/>
          <w:szCs w:val="28"/>
        </w:rPr>
        <w:t>九、报价文件递交地点</w:t>
      </w:r>
    </w:p>
    <w:p>
      <w:pPr>
        <w:snapToGrid w:val="0"/>
        <w:spacing w:line="560" w:lineRule="exact"/>
        <w:ind w:firstLine="551" w:firstLineChars="197"/>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广州市白云区白云大道南685号阁屏商务大厦四楼广州白云供销物资回收有限公司。</w:t>
      </w:r>
    </w:p>
    <w:p>
      <w:pPr>
        <w:spacing w:before="240" w:line="560" w:lineRule="exact"/>
        <w:jc w:val="left"/>
        <w:rPr>
          <w:rFonts w:ascii="仿宋_GB2312" w:hAnsi="仿宋_GB2312" w:eastAsia="仿宋_GB2312" w:cs="仿宋_GB2312"/>
          <w:sz w:val="28"/>
          <w:szCs w:val="28"/>
        </w:rPr>
      </w:pPr>
      <w:r>
        <w:rPr>
          <w:rFonts w:hint="eastAsia" w:ascii="仿宋_GB2312" w:hAnsi="仿宋_GB2312" w:eastAsia="仿宋_GB2312" w:cs="仿宋_GB2312"/>
          <w:b/>
          <w:sz w:val="28"/>
          <w:szCs w:val="28"/>
        </w:rPr>
        <w:t>十、联系人：</w:t>
      </w:r>
      <w:r>
        <w:rPr>
          <w:rFonts w:hint="eastAsia" w:ascii="仿宋_GB2312" w:hAnsi="仿宋_GB2312" w:eastAsia="仿宋_GB2312" w:cs="仿宋_GB2312"/>
          <w:sz w:val="28"/>
          <w:szCs w:val="28"/>
        </w:rPr>
        <w:t>郑先生；     联系电话：15011842845。</w:t>
      </w:r>
    </w:p>
    <w:p>
      <w:pPr>
        <w:snapToGrid w:val="0"/>
        <w:spacing w:line="560" w:lineRule="exact"/>
        <w:ind w:firstLine="560" w:firstLineChars="200"/>
        <w:jc w:val="right"/>
        <w:rPr>
          <w:rFonts w:ascii="仿宋_GB2312" w:hAnsi="仿宋_GB2312" w:eastAsia="仿宋_GB2312" w:cs="仿宋_GB2312"/>
          <w:sz w:val="28"/>
          <w:szCs w:val="28"/>
        </w:rPr>
      </w:pPr>
    </w:p>
    <w:p>
      <w:pPr>
        <w:snapToGrid w:val="0"/>
        <w:spacing w:line="560" w:lineRule="exact"/>
        <w:ind w:firstLine="560" w:firstLineChars="200"/>
        <w:jc w:val="right"/>
        <w:rPr>
          <w:rFonts w:ascii="仿宋_GB2312" w:hAnsi="仿宋_GB2312" w:eastAsia="仿宋_GB2312" w:cs="仿宋_GB2312"/>
          <w:sz w:val="28"/>
          <w:szCs w:val="28"/>
        </w:rPr>
      </w:pPr>
    </w:p>
    <w:p>
      <w:pPr>
        <w:snapToGrid w:val="0"/>
        <w:spacing w:line="560" w:lineRule="exact"/>
        <w:ind w:firstLine="560" w:firstLineChars="200"/>
        <w:jc w:val="right"/>
        <w:rPr>
          <w:rFonts w:ascii="仿宋_GB2312" w:hAnsi="仿宋_GB2312" w:eastAsia="仿宋_GB2312" w:cs="仿宋_GB2312"/>
          <w:sz w:val="28"/>
          <w:szCs w:val="28"/>
        </w:rPr>
      </w:pPr>
    </w:p>
    <w:p>
      <w:pPr>
        <w:snapToGrid w:val="0"/>
        <w:spacing w:line="560" w:lineRule="exact"/>
        <w:ind w:right="420" w:firstLine="560" w:firstLineChars="200"/>
        <w:jc w:val="right"/>
        <w:rPr>
          <w:rFonts w:ascii="仿宋_GB2312" w:hAnsi="仿宋_GB2312" w:eastAsia="仿宋_GB2312" w:cs="仿宋_GB2312"/>
          <w:sz w:val="28"/>
          <w:szCs w:val="28"/>
        </w:rPr>
      </w:pPr>
      <w:r>
        <w:rPr>
          <w:rFonts w:hint="eastAsia" w:ascii="仿宋_GB2312" w:hAnsi="仿宋_GB2312" w:eastAsia="仿宋_GB2312" w:cs="仿宋_GB2312"/>
          <w:sz w:val="28"/>
          <w:szCs w:val="28"/>
        </w:rPr>
        <w:t>广州白云供销物资回收有限公司</w:t>
      </w:r>
    </w:p>
    <w:p>
      <w:pPr>
        <w:snapToGrid w:val="0"/>
        <w:spacing w:line="560" w:lineRule="exact"/>
        <w:ind w:right="420" w:firstLine="560" w:firstLineChars="200"/>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 xml:space="preserve">                                   2021年7月9日</w:t>
      </w:r>
    </w:p>
    <w:p>
      <w:pPr>
        <w:snapToGrid w:val="0"/>
        <w:spacing w:line="560" w:lineRule="exact"/>
        <w:ind w:firstLine="560" w:firstLineChars="200"/>
        <w:jc w:val="right"/>
        <w:rPr>
          <w:rFonts w:asciiTheme="minorEastAsia" w:hAnsiTheme="minorEastAsia"/>
          <w:sz w:val="28"/>
        </w:rPr>
      </w:pPr>
    </w:p>
    <w:p>
      <w:pPr>
        <w:rPr>
          <w:rFonts w:asciiTheme="minorEastAsia" w:hAnsiTheme="minorEastAsia"/>
          <w:sz w:val="28"/>
        </w:rPr>
      </w:pPr>
      <w:r>
        <w:rPr>
          <w:rFonts w:asciiTheme="minorEastAsia" w:hAnsiTheme="minorEastAsia"/>
          <w:sz w:val="28"/>
        </w:rPr>
        <w:br w:type="page"/>
      </w:r>
    </w:p>
    <w:p>
      <w:pPr>
        <w:spacing w:line="360" w:lineRule="auto"/>
        <w:rPr>
          <w:rFonts w:ascii="宋体" w:hAnsi="宋体"/>
          <w:b/>
          <w:sz w:val="28"/>
          <w:szCs w:val="28"/>
        </w:rPr>
      </w:pPr>
      <w:r>
        <w:rPr>
          <w:rFonts w:hint="eastAsia" w:ascii="宋体" w:hAnsi="宋体"/>
          <w:b/>
          <w:sz w:val="28"/>
          <w:szCs w:val="28"/>
        </w:rPr>
        <w:t>附件：</w:t>
      </w:r>
    </w:p>
    <w:p>
      <w:pPr>
        <w:spacing w:line="360" w:lineRule="auto"/>
        <w:jc w:val="center"/>
        <w:rPr>
          <w:rFonts w:ascii="宋体" w:hAnsi="宋体"/>
          <w:b/>
          <w:sz w:val="48"/>
          <w:szCs w:val="48"/>
        </w:rPr>
      </w:pPr>
      <w:r>
        <w:rPr>
          <w:rFonts w:hint="eastAsia" w:ascii="宋体" w:hAnsi="宋体"/>
          <w:b/>
          <w:sz w:val="48"/>
          <w:szCs w:val="48"/>
        </w:rPr>
        <w:t>报  价  表</w:t>
      </w:r>
    </w:p>
    <w:p>
      <w:pPr>
        <w:spacing w:line="360" w:lineRule="auto"/>
        <w:jc w:val="center"/>
        <w:rPr>
          <w:rFonts w:ascii="宋体" w:hAnsi="宋体"/>
          <w:b/>
          <w:sz w:val="24"/>
        </w:rPr>
      </w:pPr>
    </w:p>
    <w:p>
      <w:pPr>
        <w:autoSpaceDE w:val="0"/>
        <w:autoSpaceDN w:val="0"/>
        <w:rPr>
          <w:sz w:val="28"/>
          <w:szCs w:val="24"/>
        </w:rPr>
      </w:pPr>
      <w:r>
        <w:rPr>
          <w:rFonts w:hint="eastAsia" w:asciiTheme="minorEastAsia" w:hAnsiTheme="minorEastAsia"/>
          <w:sz w:val="28"/>
          <w:szCs w:val="24"/>
        </w:rPr>
        <w:t>项目名称：嘉禾街新科餐厨处理站两网融合环卫驿站项目</w:t>
      </w:r>
    </w:p>
    <w:p>
      <w:pPr>
        <w:spacing w:line="360" w:lineRule="auto"/>
        <w:rPr>
          <w:rFonts w:asciiTheme="minorEastAsia" w:hAnsiTheme="minorEastAsia"/>
          <w:sz w:val="28"/>
          <w:szCs w:val="24"/>
        </w:rPr>
      </w:pPr>
      <w:r>
        <w:rPr>
          <w:rFonts w:hint="eastAsia" w:asciiTheme="minorEastAsia" w:hAnsiTheme="minorEastAsia"/>
          <w:sz w:val="28"/>
          <w:szCs w:val="24"/>
        </w:rPr>
        <w:t>投标人名称：</w:t>
      </w:r>
    </w:p>
    <w:p>
      <w:pPr>
        <w:spacing w:line="360" w:lineRule="auto"/>
        <w:rPr>
          <w:rFonts w:asciiTheme="minorEastAsia" w:hAnsiTheme="minorEastAsia"/>
          <w:color w:val="000000"/>
          <w:sz w:val="28"/>
          <w:szCs w:val="24"/>
        </w:rPr>
      </w:pPr>
      <w:r>
        <w:rPr>
          <w:rFonts w:hint="eastAsia" w:asciiTheme="minorEastAsia" w:hAnsiTheme="minorEastAsia"/>
          <w:color w:val="000000"/>
          <w:sz w:val="28"/>
          <w:szCs w:val="24"/>
        </w:rPr>
        <w:t>投标报价如下表：</w:t>
      </w:r>
    </w:p>
    <w:tbl>
      <w:tblPr>
        <w:tblStyle w:val="9"/>
        <w:tblW w:w="896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289"/>
        <w:gridCol w:w="467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1" w:hRule="atLeast"/>
          <w:jc w:val="center"/>
        </w:trPr>
        <w:tc>
          <w:tcPr>
            <w:tcW w:w="4289" w:type="dxa"/>
            <w:vAlign w:val="center"/>
          </w:tcPr>
          <w:p>
            <w:pPr>
              <w:adjustRightInd w:val="0"/>
              <w:snapToGrid w:val="0"/>
              <w:spacing w:line="360" w:lineRule="auto"/>
              <w:jc w:val="center"/>
              <w:rPr>
                <w:rFonts w:asciiTheme="minorEastAsia" w:hAnsiTheme="minorEastAsia"/>
                <w:b/>
                <w:bCs/>
                <w:sz w:val="28"/>
                <w:szCs w:val="24"/>
              </w:rPr>
            </w:pPr>
            <w:r>
              <w:rPr>
                <w:rFonts w:hint="eastAsia" w:asciiTheme="minorEastAsia" w:hAnsiTheme="minorEastAsia"/>
                <w:b/>
                <w:bCs/>
                <w:sz w:val="28"/>
                <w:szCs w:val="24"/>
              </w:rPr>
              <w:t>项目名称</w:t>
            </w:r>
          </w:p>
        </w:tc>
        <w:tc>
          <w:tcPr>
            <w:tcW w:w="4677" w:type="dxa"/>
            <w:vAlign w:val="center"/>
          </w:tcPr>
          <w:p>
            <w:pPr>
              <w:adjustRightInd w:val="0"/>
              <w:snapToGrid w:val="0"/>
              <w:spacing w:line="360" w:lineRule="auto"/>
              <w:jc w:val="center"/>
              <w:rPr>
                <w:rFonts w:asciiTheme="minorEastAsia" w:hAnsiTheme="minorEastAsia"/>
                <w:b/>
                <w:bCs/>
                <w:sz w:val="28"/>
                <w:szCs w:val="24"/>
              </w:rPr>
            </w:pPr>
            <w:r>
              <w:rPr>
                <w:rFonts w:hint="eastAsia" w:asciiTheme="minorEastAsia" w:hAnsiTheme="minorEastAsia"/>
                <w:b/>
                <w:bCs/>
                <w:sz w:val="28"/>
                <w:szCs w:val="24"/>
              </w:rPr>
              <w:t>投标价</w:t>
            </w:r>
          </w:p>
          <w:p>
            <w:pPr>
              <w:pStyle w:val="16"/>
              <w:snapToGrid w:val="0"/>
              <w:spacing w:before="0" w:after="0" w:line="360" w:lineRule="auto"/>
              <w:textAlignment w:val="auto"/>
              <w:rPr>
                <w:rFonts w:asciiTheme="minorEastAsia" w:hAnsiTheme="minorEastAsia" w:eastAsiaTheme="minorEastAsia"/>
                <w:bCs/>
                <w:kern w:val="2"/>
                <w:sz w:val="28"/>
                <w:szCs w:val="24"/>
              </w:rPr>
            </w:pPr>
            <w:r>
              <w:rPr>
                <w:rFonts w:hint="eastAsia" w:asciiTheme="minorEastAsia" w:hAnsiTheme="minorEastAsia" w:eastAsiaTheme="minorEastAsia"/>
                <w:b/>
                <w:bCs/>
                <w:kern w:val="2"/>
                <w:sz w:val="28"/>
                <w:szCs w:val="24"/>
              </w:rPr>
              <w:t>(单位：人民币元)</w:t>
            </w:r>
            <w:r>
              <w:rPr>
                <w:rFonts w:hint="eastAsia"/>
                <w:b/>
                <w:sz w:val="28"/>
                <w:szCs w:val="24"/>
              </w:rPr>
              <w:t>含税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2" w:hRule="atLeast"/>
          <w:jc w:val="center"/>
        </w:trPr>
        <w:tc>
          <w:tcPr>
            <w:tcW w:w="4289" w:type="dxa"/>
            <w:vMerge w:val="restart"/>
            <w:vAlign w:val="center"/>
          </w:tcPr>
          <w:p>
            <w:pPr>
              <w:spacing w:line="360" w:lineRule="auto"/>
              <w:rPr>
                <w:rFonts w:asciiTheme="minorEastAsia" w:hAnsiTheme="minorEastAsia"/>
                <w:sz w:val="28"/>
                <w:szCs w:val="24"/>
              </w:rPr>
            </w:pPr>
            <w:r>
              <w:rPr>
                <w:rFonts w:asciiTheme="minorEastAsia" w:hAnsiTheme="minorEastAsia"/>
                <w:sz w:val="28"/>
                <w:szCs w:val="24"/>
              </w:rPr>
              <w:t>嘉禾街新科餐厨处理站两网融合环卫驿站项目</w:t>
            </w:r>
          </w:p>
          <w:p>
            <w:pPr>
              <w:spacing w:line="400" w:lineRule="exact"/>
              <w:rPr>
                <w:sz w:val="28"/>
                <w:szCs w:val="24"/>
              </w:rPr>
            </w:pPr>
          </w:p>
        </w:tc>
        <w:tc>
          <w:tcPr>
            <w:tcW w:w="4677" w:type="dxa"/>
            <w:vAlign w:val="center"/>
          </w:tcPr>
          <w:p>
            <w:pPr>
              <w:pStyle w:val="6"/>
              <w:adjustRightInd w:val="0"/>
              <w:snapToGrid w:val="0"/>
              <w:spacing w:line="360" w:lineRule="auto"/>
              <w:rPr>
                <w:rFonts w:asciiTheme="minorEastAsia" w:hAnsiTheme="minorEastAsia" w:eastAsiaTheme="minorEastAsia"/>
                <w:sz w:val="28"/>
                <w:szCs w:val="24"/>
              </w:rPr>
            </w:pPr>
            <w:r>
              <w:rPr>
                <w:rFonts w:hint="eastAsia" w:asciiTheme="minorEastAsia" w:hAnsiTheme="minorEastAsia" w:eastAsiaTheme="minorEastAsia"/>
                <w:sz w:val="28"/>
                <w:szCs w:val="24"/>
              </w:rPr>
              <w:t>小写：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5" w:hRule="atLeast"/>
          <w:jc w:val="center"/>
        </w:trPr>
        <w:tc>
          <w:tcPr>
            <w:tcW w:w="4289" w:type="dxa"/>
            <w:vMerge w:val="continue"/>
            <w:vAlign w:val="center"/>
          </w:tcPr>
          <w:p>
            <w:pPr>
              <w:adjustRightInd w:val="0"/>
              <w:snapToGrid w:val="0"/>
              <w:spacing w:line="360" w:lineRule="auto"/>
              <w:jc w:val="center"/>
              <w:rPr>
                <w:sz w:val="28"/>
                <w:szCs w:val="24"/>
              </w:rPr>
            </w:pPr>
          </w:p>
        </w:tc>
        <w:tc>
          <w:tcPr>
            <w:tcW w:w="4677" w:type="dxa"/>
            <w:vAlign w:val="center"/>
          </w:tcPr>
          <w:p>
            <w:pPr>
              <w:pStyle w:val="6"/>
              <w:adjustRightInd w:val="0"/>
              <w:snapToGrid w:val="0"/>
              <w:spacing w:line="360" w:lineRule="auto"/>
              <w:rPr>
                <w:rFonts w:asciiTheme="minorEastAsia" w:hAnsiTheme="minorEastAsia" w:eastAsiaTheme="minorEastAsia"/>
                <w:sz w:val="28"/>
                <w:szCs w:val="24"/>
              </w:rPr>
            </w:pPr>
            <w:r>
              <w:rPr>
                <w:rFonts w:hint="eastAsia" w:asciiTheme="minorEastAsia" w:hAnsiTheme="minorEastAsia" w:eastAsiaTheme="minorEastAsia"/>
                <w:sz w:val="28"/>
                <w:szCs w:val="24"/>
              </w:rPr>
              <w:t>大写：</w:t>
            </w:r>
          </w:p>
        </w:tc>
      </w:tr>
    </w:tbl>
    <w:p>
      <w:pPr>
        <w:spacing w:line="360" w:lineRule="auto"/>
        <w:rPr>
          <w:rFonts w:asciiTheme="minorEastAsia" w:hAnsiTheme="minorEastAsia"/>
          <w:sz w:val="28"/>
          <w:szCs w:val="24"/>
        </w:rPr>
      </w:pPr>
      <w:r>
        <w:rPr>
          <w:rFonts w:hint="eastAsia" w:asciiTheme="minorEastAsia" w:hAnsiTheme="minorEastAsia"/>
          <w:sz w:val="28"/>
          <w:szCs w:val="24"/>
        </w:rPr>
        <w:t>注：投标报价为人民币报价。</w:t>
      </w:r>
    </w:p>
    <w:p>
      <w:pPr>
        <w:pStyle w:val="17"/>
        <w:spacing w:before="0" w:after="0" w:line="360" w:lineRule="auto"/>
        <w:ind w:left="0" w:right="24" w:firstLine="480"/>
        <w:jc w:val="both"/>
        <w:rPr>
          <w:rFonts w:asciiTheme="minorEastAsia" w:hAnsiTheme="minorEastAsia" w:eastAsiaTheme="minorEastAsia"/>
          <w:sz w:val="28"/>
          <w:szCs w:val="24"/>
        </w:rPr>
      </w:pPr>
    </w:p>
    <w:p>
      <w:pPr>
        <w:pStyle w:val="17"/>
        <w:spacing w:before="0" w:after="0" w:line="360" w:lineRule="auto"/>
        <w:ind w:left="0" w:right="24" w:firstLine="480"/>
        <w:jc w:val="both"/>
        <w:rPr>
          <w:rFonts w:asciiTheme="minorEastAsia" w:hAnsiTheme="minorEastAsia" w:eastAsiaTheme="minorEastAsia"/>
          <w:sz w:val="28"/>
          <w:szCs w:val="24"/>
        </w:rPr>
      </w:pPr>
    </w:p>
    <w:p>
      <w:pPr>
        <w:pStyle w:val="17"/>
        <w:spacing w:before="0" w:after="0" w:line="360" w:lineRule="auto"/>
        <w:ind w:left="0" w:right="24" w:firstLine="480"/>
        <w:jc w:val="both"/>
        <w:rPr>
          <w:rFonts w:asciiTheme="minorEastAsia" w:hAnsiTheme="minorEastAsia" w:eastAsiaTheme="minorEastAsia"/>
          <w:sz w:val="28"/>
          <w:szCs w:val="24"/>
        </w:rPr>
      </w:pPr>
      <w:r>
        <w:rPr>
          <w:rFonts w:hint="eastAsia" w:asciiTheme="minorEastAsia" w:hAnsiTheme="minorEastAsia" w:eastAsiaTheme="minorEastAsia"/>
          <w:sz w:val="28"/>
          <w:szCs w:val="24"/>
        </w:rPr>
        <w:t>联系人：                    联系电话：</w:t>
      </w:r>
    </w:p>
    <w:p>
      <w:pPr>
        <w:pStyle w:val="3"/>
        <w:tabs>
          <w:tab w:val="left" w:pos="3960"/>
        </w:tabs>
        <w:spacing w:line="360" w:lineRule="auto"/>
        <w:ind w:left="855" w:leftChars="-2450" w:hanging="6000" w:hangingChars="2143"/>
        <w:rPr>
          <w:rFonts w:asciiTheme="minorEastAsia" w:hAnsiTheme="minorEastAsia" w:eastAsiaTheme="minorEastAsia"/>
          <w:sz w:val="28"/>
          <w:szCs w:val="24"/>
        </w:rPr>
      </w:pPr>
    </w:p>
    <w:p>
      <w:pPr>
        <w:spacing w:line="360" w:lineRule="auto"/>
        <w:ind w:left="3780" w:leftChars="1800"/>
        <w:rPr>
          <w:rFonts w:asciiTheme="minorEastAsia" w:hAnsiTheme="minorEastAsia"/>
          <w:sz w:val="28"/>
          <w:szCs w:val="24"/>
        </w:rPr>
      </w:pPr>
      <w:r>
        <w:rPr>
          <w:rFonts w:hint="eastAsia" w:asciiTheme="minorEastAsia" w:hAnsiTheme="minorEastAsia"/>
          <w:sz w:val="28"/>
          <w:szCs w:val="24"/>
        </w:rPr>
        <w:t>投标单位（单位公章）：</w:t>
      </w:r>
    </w:p>
    <w:p>
      <w:pPr>
        <w:tabs>
          <w:tab w:val="left" w:pos="2550"/>
        </w:tabs>
        <w:spacing w:line="360" w:lineRule="auto"/>
        <w:ind w:left="3780" w:leftChars="1800" w:right="-5"/>
        <w:rPr>
          <w:rFonts w:asciiTheme="minorEastAsia" w:hAnsiTheme="minorEastAsia"/>
          <w:sz w:val="28"/>
          <w:szCs w:val="24"/>
        </w:rPr>
      </w:pPr>
      <w:r>
        <w:rPr>
          <w:rFonts w:hint="eastAsia" w:asciiTheme="minorEastAsia" w:hAnsiTheme="minorEastAsia"/>
          <w:sz w:val="28"/>
          <w:szCs w:val="24"/>
        </w:rPr>
        <w:t>授权代表</w:t>
      </w:r>
      <w:r>
        <w:rPr>
          <w:rFonts w:asciiTheme="minorEastAsia" w:hAnsiTheme="minorEastAsia"/>
          <w:sz w:val="28"/>
          <w:szCs w:val="24"/>
        </w:rPr>
        <w:t>（签名或盖章）</w:t>
      </w:r>
      <w:r>
        <w:rPr>
          <w:rFonts w:hint="eastAsia" w:asciiTheme="minorEastAsia" w:hAnsiTheme="minorEastAsia"/>
          <w:sz w:val="28"/>
          <w:szCs w:val="24"/>
        </w:rPr>
        <w:t>：</w:t>
      </w:r>
    </w:p>
    <w:p>
      <w:pPr>
        <w:pStyle w:val="8"/>
        <w:spacing w:line="360" w:lineRule="auto"/>
        <w:ind w:left="418" w:leftChars="199" w:firstLine="3920" w:firstLineChars="1400"/>
        <w:rPr>
          <w:rFonts w:asciiTheme="minorEastAsia" w:hAnsiTheme="minorEastAsia"/>
          <w:sz w:val="28"/>
          <w:szCs w:val="24"/>
        </w:rPr>
      </w:pPr>
      <w:r>
        <w:rPr>
          <w:rFonts w:hint="eastAsia" w:asciiTheme="minorEastAsia" w:hAnsiTheme="minorEastAsia"/>
          <w:sz w:val="28"/>
          <w:szCs w:val="24"/>
        </w:rPr>
        <w:t>日  期：    年    月    日</w:t>
      </w:r>
    </w:p>
    <w:p>
      <w:pPr>
        <w:snapToGrid w:val="0"/>
        <w:spacing w:line="560" w:lineRule="exact"/>
        <w:ind w:firstLine="560" w:firstLineChars="200"/>
        <w:jc w:val="left"/>
        <w:rPr>
          <w:rFonts w:asciiTheme="minorEastAsia" w:hAnsiTheme="minorEastAsia"/>
          <w:sz w:val="28"/>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auto"/>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val="1"/>
  <w:bordersDoNotSurroundHeader w:val="1"/>
  <w:bordersDoNotSurroundFooter w:val="1"/>
  <w:hideSpellingErrors/>
  <w:hideGrammaticalErrors/>
  <w:documentProtection w:enforcement="0"/>
  <w:defaultTabStop w:val="420"/>
  <w:drawingGridHorizontalSpacing w:val="105"/>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76603"/>
    <w:rsid w:val="000130F9"/>
    <w:rsid w:val="00095BE6"/>
    <w:rsid w:val="000E42E8"/>
    <w:rsid w:val="00126418"/>
    <w:rsid w:val="00150A0B"/>
    <w:rsid w:val="00183F35"/>
    <w:rsid w:val="001B0478"/>
    <w:rsid w:val="002162A9"/>
    <w:rsid w:val="0024698C"/>
    <w:rsid w:val="00265FAE"/>
    <w:rsid w:val="002C53E4"/>
    <w:rsid w:val="003739A9"/>
    <w:rsid w:val="00467342"/>
    <w:rsid w:val="00496CB9"/>
    <w:rsid w:val="00505509"/>
    <w:rsid w:val="0055463E"/>
    <w:rsid w:val="005557AE"/>
    <w:rsid w:val="00556801"/>
    <w:rsid w:val="00564247"/>
    <w:rsid w:val="005D1717"/>
    <w:rsid w:val="005D758C"/>
    <w:rsid w:val="006726E1"/>
    <w:rsid w:val="00672DFB"/>
    <w:rsid w:val="0068103B"/>
    <w:rsid w:val="006823B2"/>
    <w:rsid w:val="006D08EE"/>
    <w:rsid w:val="006E6586"/>
    <w:rsid w:val="006F7778"/>
    <w:rsid w:val="00716A39"/>
    <w:rsid w:val="007505FD"/>
    <w:rsid w:val="007562FA"/>
    <w:rsid w:val="00783D3A"/>
    <w:rsid w:val="007C2940"/>
    <w:rsid w:val="007E4323"/>
    <w:rsid w:val="0080017D"/>
    <w:rsid w:val="0080043F"/>
    <w:rsid w:val="00864E4F"/>
    <w:rsid w:val="008A15AA"/>
    <w:rsid w:val="008E3B39"/>
    <w:rsid w:val="0097085C"/>
    <w:rsid w:val="00974ED2"/>
    <w:rsid w:val="009F5342"/>
    <w:rsid w:val="00A40C17"/>
    <w:rsid w:val="00A423D6"/>
    <w:rsid w:val="00AB683B"/>
    <w:rsid w:val="00AD4E5D"/>
    <w:rsid w:val="00B02EA6"/>
    <w:rsid w:val="00B76256"/>
    <w:rsid w:val="00B76603"/>
    <w:rsid w:val="00BD5195"/>
    <w:rsid w:val="00BE1598"/>
    <w:rsid w:val="00C60962"/>
    <w:rsid w:val="00C6435A"/>
    <w:rsid w:val="00CA72CC"/>
    <w:rsid w:val="00D13641"/>
    <w:rsid w:val="00D3641E"/>
    <w:rsid w:val="00D44A0E"/>
    <w:rsid w:val="00D97791"/>
    <w:rsid w:val="00E7174E"/>
    <w:rsid w:val="00E80877"/>
    <w:rsid w:val="00EE0CE3"/>
    <w:rsid w:val="00F116B0"/>
    <w:rsid w:val="00F175E0"/>
    <w:rsid w:val="00F36B13"/>
    <w:rsid w:val="00F65AE9"/>
    <w:rsid w:val="00F90D96"/>
    <w:rsid w:val="00FA6556"/>
    <w:rsid w:val="00FD61E5"/>
    <w:rsid w:val="037078D4"/>
    <w:rsid w:val="10562CD6"/>
    <w:rsid w:val="11C77183"/>
    <w:rsid w:val="121A2444"/>
    <w:rsid w:val="1A013AAA"/>
    <w:rsid w:val="1D3560AB"/>
    <w:rsid w:val="272372C7"/>
    <w:rsid w:val="2A6009E8"/>
    <w:rsid w:val="37A66CFC"/>
    <w:rsid w:val="39613B77"/>
    <w:rsid w:val="3D29483D"/>
    <w:rsid w:val="4E007538"/>
    <w:rsid w:val="4E4379C8"/>
    <w:rsid w:val="5865029C"/>
    <w:rsid w:val="5D09041B"/>
    <w:rsid w:val="62CF0468"/>
    <w:rsid w:val="739B2A4C"/>
    <w:rsid w:val="74FD55D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qFormat="1"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qFormat="1" w:unhideWhenUsed="0" w:uiPriority="0" w:semiHidden="0"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qFormat="1" w:uiPriority="99" w:semiHidden="0" w:name="Body Text 2"/>
    <w:lsdException w:uiPriority="99" w:name="Body Text 3"/>
    <w:lsdException w:uiPriority="99" w:name="Body Text Indent 2"/>
    <w:lsdException w:uiPriority="99" w:name="Body Text Indent 3"/>
    <w:lsdException w:uiPriority="99" w:name="Block Text"/>
    <w:lsdException w:qFormat="1"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qFormat/>
    <w:uiPriority w:val="0"/>
    <w:pPr>
      <w:keepNext/>
      <w:keepLines/>
      <w:spacing w:line="578" w:lineRule="auto"/>
      <w:outlineLvl w:val="0"/>
    </w:pPr>
    <w:rPr>
      <w:b/>
      <w:bCs/>
      <w:kern w:val="44"/>
      <w:sz w:val="44"/>
      <w:szCs w:val="44"/>
    </w:rPr>
  </w:style>
  <w:style w:type="character" w:default="1" w:styleId="10">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3">
    <w:name w:val="Plain Text"/>
    <w:basedOn w:val="1"/>
    <w:link w:val="14"/>
    <w:qFormat/>
    <w:uiPriority w:val="0"/>
    <w:rPr>
      <w:rFonts w:ascii="宋体" w:hAnsi="Courier New" w:eastAsia="宋体"/>
    </w:rPr>
  </w:style>
  <w:style w:type="paragraph" w:styleId="4">
    <w:name w:val="footer"/>
    <w:basedOn w:val="1"/>
    <w:link w:val="13"/>
    <w:unhideWhenUsed/>
    <w:qFormat/>
    <w:uiPriority w:val="99"/>
    <w:pPr>
      <w:tabs>
        <w:tab w:val="center" w:pos="4153"/>
        <w:tab w:val="right" w:pos="8306"/>
      </w:tabs>
      <w:snapToGrid w:val="0"/>
      <w:jc w:val="left"/>
    </w:pPr>
    <w:rPr>
      <w:sz w:val="18"/>
      <w:szCs w:val="18"/>
    </w:rPr>
  </w:style>
  <w:style w:type="paragraph" w:styleId="5">
    <w:name w:val="header"/>
    <w:basedOn w:val="1"/>
    <w:link w:val="12"/>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index heading"/>
    <w:basedOn w:val="1"/>
    <w:next w:val="7"/>
    <w:qFormat/>
    <w:uiPriority w:val="0"/>
    <w:pPr>
      <w:widowControl/>
      <w:jc w:val="left"/>
    </w:pPr>
    <w:rPr>
      <w:rFonts w:ascii="Times New Roman" w:hAnsi="Times New Roman" w:eastAsia="宋体" w:cs="Times New Roman"/>
      <w:kern w:val="0"/>
      <w:szCs w:val="20"/>
    </w:rPr>
  </w:style>
  <w:style w:type="paragraph" w:styleId="7">
    <w:name w:val="index 1"/>
    <w:basedOn w:val="1"/>
    <w:next w:val="1"/>
    <w:semiHidden/>
    <w:unhideWhenUsed/>
    <w:qFormat/>
    <w:uiPriority w:val="99"/>
  </w:style>
  <w:style w:type="paragraph" w:styleId="8">
    <w:name w:val="Body Text 2"/>
    <w:basedOn w:val="1"/>
    <w:link w:val="15"/>
    <w:unhideWhenUsed/>
    <w:qFormat/>
    <w:uiPriority w:val="99"/>
    <w:pPr>
      <w:spacing w:after="120" w:line="480" w:lineRule="auto"/>
    </w:pPr>
  </w:style>
  <w:style w:type="character" w:styleId="11">
    <w:name w:val="Hyperlink"/>
    <w:basedOn w:val="10"/>
    <w:semiHidden/>
    <w:unhideWhenUsed/>
    <w:qFormat/>
    <w:uiPriority w:val="99"/>
    <w:rPr>
      <w:color w:val="0000FF"/>
      <w:u w:val="single"/>
    </w:rPr>
  </w:style>
  <w:style w:type="character" w:customStyle="1" w:styleId="12">
    <w:name w:val="页眉 字符"/>
    <w:basedOn w:val="10"/>
    <w:link w:val="5"/>
    <w:qFormat/>
    <w:uiPriority w:val="99"/>
    <w:rPr>
      <w:sz w:val="18"/>
      <w:szCs w:val="18"/>
    </w:rPr>
  </w:style>
  <w:style w:type="character" w:customStyle="1" w:styleId="13">
    <w:name w:val="页脚 字符"/>
    <w:basedOn w:val="10"/>
    <w:link w:val="4"/>
    <w:qFormat/>
    <w:uiPriority w:val="99"/>
    <w:rPr>
      <w:sz w:val="18"/>
      <w:szCs w:val="18"/>
    </w:rPr>
  </w:style>
  <w:style w:type="character" w:customStyle="1" w:styleId="14">
    <w:name w:val="纯文本 字符"/>
    <w:basedOn w:val="10"/>
    <w:link w:val="3"/>
    <w:qFormat/>
    <w:uiPriority w:val="0"/>
    <w:rPr>
      <w:rFonts w:ascii="宋体" w:hAnsi="Courier New" w:eastAsia="宋体"/>
    </w:rPr>
  </w:style>
  <w:style w:type="character" w:customStyle="1" w:styleId="15">
    <w:name w:val="正文文本 2 字符"/>
    <w:basedOn w:val="10"/>
    <w:link w:val="8"/>
    <w:qFormat/>
    <w:uiPriority w:val="99"/>
  </w:style>
  <w:style w:type="paragraph" w:customStyle="1" w:styleId="16">
    <w:name w:val="样式2"/>
    <w:basedOn w:val="1"/>
    <w:qFormat/>
    <w:uiPriority w:val="0"/>
    <w:pPr>
      <w:adjustRightInd w:val="0"/>
      <w:spacing w:before="120" w:after="120" w:line="312" w:lineRule="atLeast"/>
      <w:jc w:val="center"/>
      <w:textAlignment w:val="baseline"/>
    </w:pPr>
    <w:rPr>
      <w:rFonts w:ascii="Times New Roman" w:hAnsi="Times New Roman" w:eastAsia="宋体" w:cs="Times New Roman"/>
      <w:kern w:val="0"/>
      <w:sz w:val="24"/>
      <w:szCs w:val="20"/>
    </w:rPr>
  </w:style>
  <w:style w:type="paragraph" w:customStyle="1" w:styleId="17">
    <w:name w:val="Blockquote"/>
    <w:basedOn w:val="1"/>
    <w:qFormat/>
    <w:uiPriority w:val="0"/>
    <w:pPr>
      <w:autoSpaceDE w:val="0"/>
      <w:autoSpaceDN w:val="0"/>
      <w:adjustRightInd w:val="0"/>
      <w:spacing w:before="100" w:after="100"/>
      <w:ind w:left="360" w:right="360"/>
      <w:jc w:val="left"/>
    </w:pPr>
    <w:rPr>
      <w:rFonts w:ascii="Times New Roman" w:hAnsi="Times New Roman" w:eastAsia="宋体" w:cs="Times New Roman"/>
      <w:kern w:val="0"/>
      <w:sz w:val="24"/>
      <w:szCs w:val="20"/>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2.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0614B368-CE36-4D14-9ABE-898929BBD863}">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4</Pages>
  <Words>241</Words>
  <Characters>1380</Characters>
  <Lines>11</Lines>
  <Paragraphs>3</Paragraphs>
  <TotalTime>16</TotalTime>
  <ScaleCrop>false</ScaleCrop>
  <LinksUpToDate>false</LinksUpToDate>
  <CharactersWithSpaces>1618</CharactersWithSpaces>
  <Application>WPS Office_11.8.2.9022_F1E327BC-269C-435d-A152-05C5408002CA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2020-05-19T02:32:00Z</dcterms:created>
  <dc:creator>邱静</dc:creator>
  <cp:lastModifiedBy>Administrator</cp:lastModifiedBy>
  <cp:lastPrinted>2021-07-09T09:30:00Z</cp:lastPrinted>
  <dcterms:modified xsi:type="dcterms:W3CDTF">2021-07-09T09:50:27Z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2052-11.8.2.9022</vt:lpwstr>
  </property>
  <property fmtid="{D5CDD505-2E9C-101B-9397-08002B2CF9AE}" pid="3" name="ICV">
    <vt:lpwstr>0DFEB1765F214653A87027DF625494FA</vt:lpwstr>
  </property>
</Properties>
</file>