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97391">
      <w:pPr>
        <w:spacing w:line="560" w:lineRule="exact"/>
        <w:jc w:val="left"/>
        <w:rPr>
          <w:rFonts w:hint="eastAsia" w:ascii="黑体" w:hAnsi="黑体" w:eastAsia="黑体" w:cs="黑体"/>
          <w:b w:val="0"/>
          <w:bCs/>
          <w:sz w:val="32"/>
          <w:szCs w:val="32"/>
        </w:rPr>
      </w:pPr>
      <w:r>
        <w:rPr>
          <w:rFonts w:hint="eastAsia" w:ascii="黑体" w:hAnsi="黑体" w:eastAsia="黑体" w:cs="黑体"/>
          <w:b w:val="0"/>
          <w:bCs/>
          <w:sz w:val="32"/>
          <w:szCs w:val="32"/>
        </w:rPr>
        <w:t>附件</w:t>
      </w:r>
      <w:r>
        <w:rPr>
          <w:rFonts w:hint="eastAsia" w:ascii="黑体" w:hAnsi="黑体" w:eastAsia="黑体" w:cs="黑体"/>
          <w:b w:val="0"/>
          <w:bCs/>
          <w:sz w:val="32"/>
          <w:szCs w:val="32"/>
        </w:rPr>
        <w:t>2</w:t>
      </w:r>
    </w:p>
    <w:p w14:paraId="20D49BB2">
      <w:pPr>
        <w:spacing w:line="560" w:lineRule="exact"/>
        <w:jc w:val="left"/>
        <w:rPr>
          <w:rFonts w:hint="eastAsia" w:ascii="仿宋_GB2312" w:hAnsi="仿宋" w:eastAsia="仿宋_GB2312" w:cs="仿宋"/>
          <w:b/>
          <w:sz w:val="28"/>
          <w:szCs w:val="28"/>
        </w:rPr>
      </w:pPr>
    </w:p>
    <w:p w14:paraId="635079FE">
      <w:pPr>
        <w:pStyle w:val="9"/>
        <w:spacing w:line="560" w:lineRule="exact"/>
        <w:ind w:firstLine="880" w:firstLineChars="200"/>
        <w:jc w:val="center"/>
        <w:rPr>
          <w:rFonts w:ascii="方正小标宋简体" w:hAnsi="宋体" w:eastAsia="方正小标宋简体" w:cs="宋体"/>
          <w:sz w:val="44"/>
          <w:szCs w:val="44"/>
        </w:rPr>
      </w:pPr>
      <w:r>
        <w:rPr>
          <w:rFonts w:hint="eastAsia" w:ascii="方正小标宋简体" w:hAnsi="宋体" w:eastAsia="方正小标宋简体" w:cs="宋体"/>
          <w:sz w:val="44"/>
          <w:szCs w:val="44"/>
        </w:rPr>
        <w:t>项目基本情况及商务条件</w:t>
      </w:r>
    </w:p>
    <w:p w14:paraId="6579548C">
      <w:pPr>
        <w:pStyle w:val="9"/>
        <w:spacing w:line="560" w:lineRule="exact"/>
        <w:ind w:firstLine="640" w:firstLineChars="200"/>
        <w:jc w:val="left"/>
        <w:rPr>
          <w:rFonts w:ascii="黑体" w:hAnsi="黑体" w:eastAsia="黑体" w:cs="仿宋"/>
          <w:sz w:val="32"/>
          <w:szCs w:val="32"/>
        </w:rPr>
      </w:pPr>
      <w:r>
        <w:rPr>
          <w:rFonts w:hint="eastAsia" w:ascii="黑体" w:hAnsi="黑体" w:eastAsia="黑体" w:cs="仿宋"/>
          <w:sz w:val="32"/>
          <w:szCs w:val="32"/>
        </w:rPr>
        <w:t>一、项目基本情况</w:t>
      </w:r>
    </w:p>
    <w:p w14:paraId="79357F46">
      <w:pPr>
        <w:widowControl/>
        <w:spacing w:line="240" w:lineRule="auto"/>
        <w:ind w:firstLine="640" w:firstLineChars="200"/>
        <w:jc w:val="left"/>
        <w:rPr>
          <w:rFonts w:ascii="方正仿宋_GB2312" w:hAnsi="方正仿宋_GB2312" w:eastAsia="方正仿宋_GB2312" w:cs="方正仿宋_GB2312"/>
          <w:sz w:val="32"/>
          <w:szCs w:val="32"/>
        </w:rPr>
      </w:pPr>
      <w:r>
        <w:rPr>
          <w:rFonts w:hint="eastAsia" w:ascii="仿宋_GB2312" w:hAnsi="仿宋" w:eastAsia="仿宋_GB2312"/>
          <w:sz w:val="32"/>
          <w:szCs w:val="32"/>
          <w:lang w:eastAsia="zh-CN"/>
        </w:rPr>
        <w:t>项目需结合我区的经济发展、产业规划、城市规划布局等实际情况</w:t>
      </w:r>
      <w:r>
        <w:rPr>
          <w:rFonts w:hint="eastAsia" w:ascii="仿宋_GB2312" w:hAnsi="宋体" w:eastAsia="仿宋_GB2312" w:cs="仿宋_GB2312"/>
          <w:color w:val="000000"/>
          <w:kern w:val="0"/>
          <w:sz w:val="32"/>
          <w:szCs w:val="32"/>
          <w:lang w:val="en-US" w:eastAsia="zh-CN" w:bidi="ar"/>
        </w:rPr>
        <w:t>按照符合再生行业产业发展的要求，以总用地面积150亩的规模做好用地选址研究，其中最终形成报告的选址不少于4个，</w:t>
      </w:r>
      <w:r>
        <w:rPr>
          <w:rFonts w:ascii="仿宋_GB2312" w:hAnsi="宋体" w:eastAsia="仿宋_GB2312" w:cs="仿宋_GB2312"/>
          <w:color w:val="000000"/>
          <w:kern w:val="0"/>
          <w:sz w:val="32"/>
          <w:szCs w:val="32"/>
          <w:lang w:val="en-US" w:eastAsia="zh-CN" w:bidi="ar"/>
        </w:rPr>
        <w:t xml:space="preserve"> </w:t>
      </w:r>
      <w:r>
        <w:rPr>
          <w:rFonts w:hint="eastAsia" w:ascii="仿宋_GB2312" w:hAnsi="宋体" w:eastAsia="仿宋_GB2312" w:cs="仿宋_GB2312"/>
          <w:color w:val="000000"/>
          <w:kern w:val="0"/>
          <w:sz w:val="32"/>
          <w:szCs w:val="32"/>
          <w:lang w:val="en-US" w:eastAsia="zh-CN" w:bidi="ar"/>
        </w:rPr>
        <w:t>按照“成熟一个、推进一个”的原则，就其中一个选址地块开展产业策划，概念方案设计相关的工作。</w:t>
      </w:r>
      <w:r>
        <w:rPr>
          <w:rFonts w:hint="eastAsia" w:ascii="仿宋_GB2312" w:hAnsi="仿宋_GB2312" w:eastAsia="仿宋_GB2312" w:cs="仿宋_GB2312"/>
          <w:sz w:val="32"/>
          <w:szCs w:val="32"/>
        </w:rPr>
        <w:t xml:space="preserve"> </w:t>
      </w:r>
    </w:p>
    <w:p w14:paraId="59EC92B8">
      <w:pPr>
        <w:spacing w:line="560" w:lineRule="exact"/>
        <w:ind w:firstLine="640" w:firstLineChars="200"/>
        <w:jc w:val="left"/>
        <w:rPr>
          <w:rFonts w:ascii="黑体" w:hAnsi="黑体" w:eastAsia="黑体"/>
          <w:color w:val="auto"/>
          <w:sz w:val="32"/>
        </w:rPr>
      </w:pPr>
      <w:r>
        <w:rPr>
          <w:rFonts w:hint="eastAsia" w:ascii="黑体" w:hAnsi="黑体" w:eastAsia="黑体"/>
          <w:color w:val="auto"/>
          <w:sz w:val="32"/>
        </w:rPr>
        <w:t>二、商务条件</w:t>
      </w:r>
    </w:p>
    <w:p w14:paraId="3C1C2AF9">
      <w:pPr>
        <w:ind w:firstLine="640" w:firstLineChars="200"/>
        <w:rPr>
          <w:rFonts w:hint="eastAsia" w:ascii="楷体" w:hAnsi="楷体" w:eastAsia="楷体" w:cs="楷体"/>
          <w:sz w:val="32"/>
          <w:szCs w:val="32"/>
        </w:rPr>
      </w:pPr>
      <w:r>
        <w:rPr>
          <w:rFonts w:hint="eastAsia" w:ascii="楷体" w:hAnsi="楷体" w:eastAsia="楷体" w:cs="楷体"/>
          <w:sz w:val="32"/>
          <w:szCs w:val="32"/>
        </w:rPr>
        <w:t>（一）编制技术标准</w:t>
      </w:r>
    </w:p>
    <w:p w14:paraId="1FA973B7">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依据国家、广东省和广州市相关法规、条例、规范和标准，如《中华人民共和国城乡规划法》《广州市城乡规划条例》《投资项目可行性研究指南(试用版)》《国家发展改革委、建设部关 于印发建设项目经济评价方法与参数的通知》《再生资源分拣中心建设和管理规范》等。</w:t>
      </w:r>
    </w:p>
    <w:p w14:paraId="42C9047A">
      <w:pPr>
        <w:ind w:firstLine="640" w:firstLineChars="200"/>
        <w:rPr>
          <w:rFonts w:hint="eastAsia" w:ascii="楷体" w:hAnsi="楷体" w:eastAsia="楷体" w:cs="楷体"/>
          <w:sz w:val="32"/>
          <w:szCs w:val="32"/>
        </w:rPr>
      </w:pPr>
      <w:r>
        <w:rPr>
          <w:rFonts w:hint="eastAsia" w:ascii="楷体" w:hAnsi="楷体" w:eastAsia="楷体" w:cs="楷体"/>
          <w:sz w:val="32"/>
          <w:szCs w:val="32"/>
        </w:rPr>
        <w:t>（二）编制工作内容</w:t>
      </w:r>
    </w:p>
    <w:p w14:paraId="22728ACF">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结合项目谋划的实际需求，初步拟定了服务单位应提供的四大类工作内容（包括但不限于以下）</w:t>
      </w:r>
    </w:p>
    <w:p w14:paraId="1F43DB47">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1</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分拣中心选址论证</w:t>
      </w:r>
    </w:p>
    <w:p w14:paraId="093FEF7D">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（1）现状梳理和分析。</w:t>
      </w:r>
    </w:p>
    <w:p w14:paraId="74D346D4">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对白云区再生资源分拣中心现状情况进行分析评估。</w:t>
      </w:r>
    </w:p>
    <w:p w14:paraId="68512A99">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（2）分拣中心建设标准</w:t>
      </w:r>
    </w:p>
    <w:p w14:paraId="0CDC2BE4">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结合现行规范、地方标准，借鉴北京、上海、深圳、宁波等国内城市的经验，确定再生资源绿色分拣中心建设标准和要求。</w:t>
      </w:r>
    </w:p>
    <w:p w14:paraId="758C8A6A">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（3）分拣中心类型和规模论证</w:t>
      </w:r>
    </w:p>
    <w:p w14:paraId="2BA6F461">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结合白云区再生资源预测量和品类，确定分拣中心的类型和分拣品类，以此确定分拣中心用地面积和建筑面积。</w:t>
      </w:r>
    </w:p>
    <w:p w14:paraId="3EF9E80F">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（4）分拣中心选址</w:t>
      </w:r>
    </w:p>
    <w:p w14:paraId="1448517B">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根据再生资源中转站的分布情况，结合城市更新计划、土地利用规划等、用地权属、道路交通、市政供给等情况，提出再生资源绿色分拣中心选址方案，并进行方案比选，结合区相关职能部门意见，最终选定总用地规模接近150亩，且不少于3个分拣中心的选址。</w:t>
      </w:r>
    </w:p>
    <w:p w14:paraId="356AA0D8">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2</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分拣中心项目策划</w:t>
      </w:r>
    </w:p>
    <w:p w14:paraId="56A94B0B">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对以上选址中近期实施的1座分拣中心开展项目策划工作。</w:t>
      </w:r>
    </w:p>
    <w:p w14:paraId="37B0D743">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（1）分拣中心项目可行性研究</w:t>
      </w:r>
    </w:p>
    <w:p w14:paraId="163EFF42">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分析项目建设背景和必要性；分析白云区再生资源业态和市场需求；分析分拣中心类型、处理品类和对应规模；提出项目建设方案；分析项目投资和收益、项目建设效果；提出项目风险管控建议；形成研究结论及建议等内容。</w:t>
      </w:r>
    </w:p>
    <w:p w14:paraId="09D33942">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（2）分拣中心策划方案</w:t>
      </w:r>
    </w:p>
    <w:p w14:paraId="074847E3">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1）现状条件分析：运用地理信息分析、实地调研等方法，评估项目所在地的地理位置、 交通 、基础设施以及劳动力和土地资源等状况 ，为项目建设运营提供基础数据。</w:t>
      </w:r>
    </w:p>
    <w:p w14:paraId="7AFA77B3">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2）上位规划要求：深入解读市区政策文件与产业、土地规划、梳理支持方向、限制条件及潜在机遇。确保项目与上位规划紧密衔接，符合区域发展战略。</w:t>
      </w:r>
    </w:p>
    <w:p w14:paraId="75CEFC9E">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3）目标分析：综合各项分析，确定项目总体目标。明确项目功能布局、回收品类和规模，为项目发展指明方向。项目功能策划、成果汇报（协助业主向区相关部门汇报或向区分管领导汇报）。</w:t>
      </w:r>
    </w:p>
    <w:p w14:paraId="20BE3D80">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（3）分拣中心项目空间规划概念方案</w:t>
      </w:r>
    </w:p>
    <w:p w14:paraId="3D4A13F8">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结合上位规划，各职能部门沟通对接情况确认项目范围；相关规划核查；项目空间规划概念方案、达到为项目后续的工程设计提供指导的深度；图件制作：依据项目概念规划方案，制作具有后期方案设计指导意义的总体概念平面图及效果图；成果汇编与汇报。</w:t>
      </w:r>
    </w:p>
    <w:p w14:paraId="5DECDAF9">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（4）项目用地收储与产业导入系列服务工作</w:t>
      </w:r>
    </w:p>
    <w:p w14:paraId="03EB9647">
      <w:pPr>
        <w:widowControl/>
        <w:spacing w:line="240" w:lineRule="auto"/>
        <w:ind w:firstLine="640" w:firstLineChars="200"/>
        <w:jc w:val="left"/>
        <w:rPr>
          <w:rFonts w:hint="eastAsia" w:ascii="仿宋_GB2312" w:hAnsi="仿宋" w:eastAsia="仿宋_GB2312"/>
          <w:sz w:val="32"/>
          <w:szCs w:val="32"/>
          <w:lang w:eastAsia="zh-CN"/>
        </w:rPr>
      </w:pPr>
      <w:r>
        <w:rPr>
          <w:rFonts w:hint="eastAsia" w:ascii="仿宋_GB2312" w:hAnsi="仿宋" w:eastAsia="仿宋_GB2312"/>
          <w:sz w:val="32"/>
          <w:szCs w:val="32"/>
          <w:lang w:eastAsia="zh-CN"/>
        </w:rPr>
        <w:t>用地条件沟通、区产业导入沟通。根据项目拟导入的主体及功能状况，协助业主与区相关职能部门进行有效沟通， 协助业主制作相应的沟通表格与图件，并协助业主顺利通过区招商例会 ，确保项目主体与产业的顺利导入。</w:t>
      </w:r>
    </w:p>
    <w:p w14:paraId="34B38C28">
      <w:pPr>
        <w:widowControl/>
        <w:spacing w:line="240" w:lineRule="auto"/>
        <w:ind w:firstLine="640" w:firstLineChars="200"/>
        <w:jc w:val="left"/>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(三)服务进度要求</w:t>
      </w:r>
    </w:p>
    <w:p w14:paraId="38FA9C95">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1.服务时间：合同签订之日起至完成合同约定任务为止。</w:t>
      </w:r>
    </w:p>
    <w:p w14:paraId="0155D208">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2.进度要求：合同签订之日起20个工作日内提交《报告》初稿。</w:t>
      </w:r>
    </w:p>
    <w:p w14:paraId="54671E79">
      <w:pPr>
        <w:ind w:firstLine="640" w:firstLineChars="200"/>
        <w:rPr>
          <w:rFonts w:hint="eastAsia" w:ascii="楷体" w:hAnsi="楷体" w:eastAsia="楷体" w:cs="楷体"/>
          <w:sz w:val="32"/>
          <w:szCs w:val="32"/>
        </w:rPr>
      </w:pPr>
      <w:r>
        <w:rPr>
          <w:rFonts w:hint="eastAsia" w:ascii="楷体" w:hAnsi="楷体" w:eastAsia="楷体" w:cs="楷体"/>
          <w:sz w:val="32"/>
          <w:szCs w:val="32"/>
        </w:rPr>
        <w:t>(四)项目验收内容及验收方式</w:t>
      </w:r>
    </w:p>
    <w:p w14:paraId="1308F030">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1.项目验收内容</w:t>
      </w:r>
    </w:p>
    <w:p w14:paraId="0B040BA2">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（1）分拣中心选址论证成果满足规划部门相关审查要求或通过甲方结题验收要求。</w:t>
      </w:r>
    </w:p>
    <w:p w14:paraId="7AC93972">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（2）分拣中心项目策划成果满足提交区投促局会议审议要求或通过甲方结题验收要求。</w:t>
      </w:r>
    </w:p>
    <w:p w14:paraId="003CA945">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2.项目验收方式</w:t>
      </w:r>
    </w:p>
    <w:p w14:paraId="5BEEB44B">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材料审查验收。</w:t>
      </w:r>
    </w:p>
    <w:p w14:paraId="7360ACED">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3.验收标准</w:t>
      </w:r>
    </w:p>
    <w:p w14:paraId="43D1FD07">
      <w:pPr>
        <w:widowControl/>
        <w:spacing w:line="24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服务方的最终成果文件通过委托方验收确认。</w:t>
      </w:r>
    </w:p>
    <w:p w14:paraId="14DD42BB">
      <w:pPr>
        <w:widowControl/>
        <w:spacing w:line="240" w:lineRule="auto"/>
        <w:ind w:firstLine="640" w:firstLineChars="200"/>
        <w:jc w:val="left"/>
        <w:rPr>
          <w:rFonts w:hint="eastAsia" w:ascii="仿宋_GB2312" w:hAnsi="仿宋_GB2312" w:eastAsia="仿宋_GB2312" w:cs="仿宋_GB2312"/>
          <w:sz w:val="32"/>
          <w:szCs w:val="32"/>
          <w:lang w:eastAsia="zh-CN"/>
        </w:rPr>
      </w:pPr>
    </w:p>
    <w:p w14:paraId="6B0ABFFF">
      <w:pPr>
        <w:widowControl/>
        <w:spacing w:line="240" w:lineRule="auto"/>
        <w:ind w:firstLine="640" w:firstLineChars="200"/>
        <w:jc w:val="left"/>
        <w:rPr>
          <w:rFonts w:hint="eastAsia" w:ascii="仿宋_GB2312" w:hAnsi="仿宋_GB2312" w:eastAsia="仿宋_GB2312" w:cs="仿宋_GB2312"/>
          <w:sz w:val="32"/>
          <w:szCs w:val="32"/>
          <w:lang w:eastAsia="zh-CN"/>
        </w:rPr>
      </w:pPr>
    </w:p>
    <w:p w14:paraId="7A4D86DD">
      <w:pPr>
        <w:widowControl/>
        <w:spacing w:line="240" w:lineRule="auto"/>
        <w:ind w:firstLine="3840" w:firstLineChars="1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广州市白云区供销总公司</w:t>
      </w:r>
    </w:p>
    <w:p w14:paraId="0D292E9A">
      <w:pPr>
        <w:widowControl/>
        <w:spacing w:line="24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2025年12月3日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dlYWI5YjBlOTk4YjBlZWZjZjcwY2Q4NDFmZjk1YmEifQ=="/>
    <w:docVar w:name="KGWebUrl" w:val="https://oa.bycoop.com/seeyon/officeservlet"/>
  </w:docVars>
  <w:rsids>
    <w:rsidRoot w:val="2EEF7DBD"/>
    <w:rsid w:val="00487B4C"/>
    <w:rsid w:val="005A36C6"/>
    <w:rsid w:val="00604AF2"/>
    <w:rsid w:val="00854AD3"/>
    <w:rsid w:val="08C51E2C"/>
    <w:rsid w:val="1776571B"/>
    <w:rsid w:val="17B13D51"/>
    <w:rsid w:val="1DC6012F"/>
    <w:rsid w:val="2EEF7DBD"/>
    <w:rsid w:val="32FB1169"/>
    <w:rsid w:val="39553B64"/>
    <w:rsid w:val="43EC4464"/>
    <w:rsid w:val="4E0C3F18"/>
    <w:rsid w:val="709B04C9"/>
    <w:rsid w:val="7227535C"/>
    <w:rsid w:val="7F186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宋体"/>
      <w:szCs w:val="24"/>
    </w:rPr>
  </w:style>
  <w:style w:type="paragraph" w:styleId="4">
    <w:name w:val="Body Text"/>
    <w:basedOn w:val="1"/>
    <w:unhideWhenUsed/>
    <w:qFormat/>
    <w:uiPriority w:val="99"/>
    <w:pPr>
      <w:spacing w:after="120"/>
    </w:pPr>
    <w:rPr>
      <w:rFonts w:ascii="Calibri" w:hAnsi="Calibri" w:eastAsia="宋体" w:cs="Times New Roman"/>
      <w:szCs w:val="24"/>
    </w:rPr>
  </w:style>
  <w:style w:type="paragraph" w:styleId="5">
    <w:name w:val="Plain Text"/>
    <w:basedOn w:val="1"/>
    <w:qFormat/>
    <w:uiPriority w:val="0"/>
    <w:rPr>
      <w:rFonts w:ascii="宋体" w:hAnsi="Courier New" w:eastAsia="宋体"/>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semiHidden/>
    <w:unhideWhenUsed/>
    <w:qFormat/>
    <w:uiPriority w:val="99"/>
    <w:pPr>
      <w:spacing w:after="120" w:line="480" w:lineRule="auto"/>
    </w:pPr>
  </w:style>
  <w:style w:type="paragraph" w:customStyle="1" w:styleId="12">
    <w:name w:val="Body text|1"/>
    <w:basedOn w:val="1"/>
    <w:qFormat/>
    <w:uiPriority w:val="0"/>
    <w:pPr>
      <w:spacing w:line="374" w:lineRule="auto"/>
      <w:ind w:firstLine="400"/>
    </w:pPr>
    <w:rPr>
      <w:rFonts w:ascii="宋体" w:hAnsi="宋体" w:eastAsia="宋体" w:cs="宋体"/>
      <w:sz w:val="30"/>
      <w:szCs w:val="30"/>
      <w:lang w:val="zh-TW" w:eastAsia="zh-TW" w:bidi="zh-TW"/>
    </w:rPr>
  </w:style>
  <w:style w:type="character" w:customStyle="1" w:styleId="13">
    <w:name w:val="页眉 Char"/>
    <w:basedOn w:val="11"/>
    <w:link w:val="8"/>
    <w:qFormat/>
    <w:uiPriority w:val="0"/>
    <w:rPr>
      <w:kern w:val="2"/>
      <w:sz w:val="18"/>
      <w:szCs w:val="18"/>
    </w:rPr>
  </w:style>
  <w:style w:type="character" w:customStyle="1" w:styleId="14">
    <w:name w:val="页脚 Char"/>
    <w:basedOn w:val="11"/>
    <w:link w:val="7"/>
    <w:qFormat/>
    <w:uiPriority w:val="0"/>
    <w:rPr>
      <w:kern w:val="2"/>
      <w:sz w:val="18"/>
      <w:szCs w:val="18"/>
    </w:rPr>
  </w:style>
  <w:style w:type="character" w:customStyle="1" w:styleId="15">
    <w:name w:val="批注框文本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1038</Words>
  <Characters>1042</Characters>
  <Lines>6</Lines>
  <Paragraphs>1</Paragraphs>
  <TotalTime>16</TotalTime>
  <ScaleCrop>false</ScaleCrop>
  <LinksUpToDate>false</LinksUpToDate>
  <CharactersWithSpaces>1048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2024-09-09T07:15:00Z</dcterms:created>
  <dc:creator>易安琦</dc:creator>
  <cp:lastModifiedBy>朱洁韩</cp:lastModifiedBy>
  <cp:lastPrinted>2025-12-03T02:23:28Z</cp:lastPrinted>
  <dcterms:modified xsi:type="dcterms:W3CDTF">2025-12-03T02:38:28Z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6091DCAE2AAF4A28A4B60E640EB7E607_13</vt:lpwstr>
  </property>
  <property fmtid="{D5CDD505-2E9C-101B-9397-08002B2CF9AE}" pid="4" name="KSOTemplateDocerSaveRecord">
    <vt:lpwstr>eyJoZGlkIjoiZjE1MDM1OTRjZjk4NmEyOGE4NmNkMjQ4MWU0MWE5MWEiLCJ1c2VySWQiOiIxNzY5OTI5NTAxIn0=</vt:lpwstr>
  </property>
</Properties>
</file>