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D6D2D">
      <w:pPr>
        <w:spacing w:line="560" w:lineRule="exact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3</w:t>
      </w:r>
    </w:p>
    <w:p w14:paraId="3BC64F39">
      <w:pPr>
        <w:spacing w:line="560" w:lineRule="exact"/>
        <w:jc w:val="left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34F4CEFC">
      <w:pPr>
        <w:pStyle w:val="6"/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择优评审表</w:t>
      </w:r>
    </w:p>
    <w:tbl>
      <w:tblPr>
        <w:tblStyle w:val="12"/>
        <w:tblpPr w:leftFromText="180" w:rightFromText="180" w:vertAnchor="text" w:horzAnchor="page" w:tblpXSpec="center" w:tblpY="58"/>
        <w:tblOverlap w:val="never"/>
        <w:tblW w:w="94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6"/>
        <w:gridCol w:w="1255"/>
        <w:gridCol w:w="6950"/>
      </w:tblGrid>
      <w:tr w14:paraId="7EAD2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1206" w:type="dxa"/>
            <w:vAlign w:val="center"/>
          </w:tcPr>
          <w:p w14:paraId="52DAAEF1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4"/>
                <w:sz w:val="18"/>
                <w:szCs w:val="18"/>
                <w:highlight w:val="none"/>
              </w:rPr>
              <w:t>评审因素</w:t>
            </w:r>
          </w:p>
        </w:tc>
        <w:tc>
          <w:tcPr>
            <w:tcW w:w="8205" w:type="dxa"/>
            <w:gridSpan w:val="2"/>
            <w:vAlign w:val="center"/>
          </w:tcPr>
          <w:p w14:paraId="7B6159FF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4"/>
                <w:sz w:val="18"/>
                <w:szCs w:val="18"/>
                <w:highlight w:val="none"/>
              </w:rPr>
              <w:t>评审标准</w:t>
            </w:r>
          </w:p>
        </w:tc>
      </w:tr>
      <w:tr w14:paraId="0C7AF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 w:hRule="atLeast"/>
          <w:jc w:val="center"/>
        </w:trPr>
        <w:tc>
          <w:tcPr>
            <w:tcW w:w="1206" w:type="dxa"/>
            <w:vAlign w:val="center"/>
          </w:tcPr>
          <w:p w14:paraId="2901A6C5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3"/>
                <w:sz w:val="18"/>
                <w:szCs w:val="18"/>
                <w:highlight w:val="none"/>
              </w:rPr>
              <w:t>分值构成</w:t>
            </w:r>
          </w:p>
        </w:tc>
        <w:tc>
          <w:tcPr>
            <w:tcW w:w="8205" w:type="dxa"/>
            <w:gridSpan w:val="2"/>
            <w:vAlign w:val="center"/>
          </w:tcPr>
          <w:p w14:paraId="71071A6B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z w:val="18"/>
                <w:szCs w:val="18"/>
                <w:highlight w:val="none"/>
                <w:lang w:eastAsia="zh-CN"/>
              </w:rPr>
              <w:t>商务部分40分；技术部分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40</w:t>
            </w:r>
            <w:r>
              <w:rPr>
                <w:sz w:val="18"/>
                <w:szCs w:val="18"/>
                <w:highlight w:val="none"/>
                <w:lang w:eastAsia="zh-CN"/>
              </w:rPr>
              <w:t>分；报价得分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sz w:val="18"/>
                <w:szCs w:val="18"/>
                <w:highlight w:val="none"/>
                <w:lang w:eastAsia="zh-CN"/>
              </w:rPr>
              <w:t>分。</w:t>
            </w:r>
          </w:p>
        </w:tc>
      </w:tr>
      <w:tr w14:paraId="7CC19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20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A80F191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  <w:p w14:paraId="7CDE6EED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  <w:p w14:paraId="04018589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6"/>
                <w:sz w:val="18"/>
                <w:szCs w:val="18"/>
                <w:highlight w:val="none"/>
              </w:rPr>
              <w:t>商务部分</w:t>
            </w:r>
          </w:p>
        </w:tc>
        <w:tc>
          <w:tcPr>
            <w:tcW w:w="1255" w:type="dxa"/>
            <w:vAlign w:val="center"/>
          </w:tcPr>
          <w:p w14:paraId="79CAE8C6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7"/>
                <w:sz w:val="18"/>
                <w:szCs w:val="18"/>
                <w:highlight w:val="none"/>
              </w:rPr>
              <w:t>体系认证情况(6分)</w:t>
            </w:r>
          </w:p>
        </w:tc>
        <w:tc>
          <w:tcPr>
            <w:tcW w:w="6950" w:type="dxa"/>
            <w:vAlign w:val="center"/>
          </w:tcPr>
          <w:p w14:paraId="44391BF9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z w:val="18"/>
                <w:szCs w:val="18"/>
                <w:highlight w:val="none"/>
                <w:lang w:eastAsia="zh-CN"/>
              </w:rPr>
              <w:t>同时具有有效期内的质量管理体系认证证书、职业健康安全管理体系认证证书、环境管理体系认证证书，得6分。其他不得分。注：需提供证书复印件，提供资料不全的不得分。</w:t>
            </w:r>
          </w:p>
        </w:tc>
      </w:tr>
      <w:tr w14:paraId="0578C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  <w:jc w:val="center"/>
        </w:trPr>
        <w:tc>
          <w:tcPr>
            <w:tcW w:w="120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0EDA387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</w:tc>
        <w:tc>
          <w:tcPr>
            <w:tcW w:w="1255" w:type="dxa"/>
            <w:vAlign w:val="center"/>
          </w:tcPr>
          <w:p w14:paraId="747A7190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rFonts w:hint="eastAsia"/>
                <w:spacing w:val="8"/>
                <w:sz w:val="18"/>
                <w:szCs w:val="18"/>
                <w:highlight w:val="none"/>
              </w:rPr>
              <w:t>同类项目业绩</w:t>
            </w:r>
            <w:r>
              <w:rPr>
                <w:spacing w:val="8"/>
                <w:sz w:val="18"/>
                <w:szCs w:val="18"/>
                <w:highlight w:val="none"/>
              </w:rPr>
              <w:t>(12分)</w:t>
            </w:r>
          </w:p>
        </w:tc>
        <w:tc>
          <w:tcPr>
            <w:tcW w:w="6950" w:type="dxa"/>
            <w:vAlign w:val="center"/>
          </w:tcPr>
          <w:p w14:paraId="4FB4176D">
            <w:pPr>
              <w:pStyle w:val="11"/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（1）自202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年1月1日至报价截止时间止，报价人</w:t>
            </w:r>
            <w:r>
              <w:rPr>
                <w:sz w:val="18"/>
                <w:szCs w:val="18"/>
                <w:highlight w:val="none"/>
                <w:lang w:eastAsia="zh-CN"/>
              </w:rPr>
              <w:t>承接过咨询服务项目，每具有1个得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2</w:t>
            </w: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分，最高得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6</w:t>
            </w: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分。</w:t>
            </w:r>
          </w:p>
          <w:p w14:paraId="21EFEADD">
            <w:pPr>
              <w:pStyle w:val="11"/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自202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0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年1月1日至报价截止时间止，报价人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承接过合同价控制性详细规划类项目，每具有1个得1分，最高得6分。</w:t>
            </w:r>
          </w:p>
          <w:p w14:paraId="05E343E4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注：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企业业绩证明材料须提供合同复印件关键页，复印件内的签署内容须完整（如：签署日期等），否则不得分</w:t>
            </w:r>
            <w:r>
              <w:rPr>
                <w:sz w:val="18"/>
                <w:szCs w:val="18"/>
                <w:highlight w:val="none"/>
                <w:lang w:eastAsia="zh-CN"/>
              </w:rPr>
              <w:t>。</w:t>
            </w:r>
          </w:p>
        </w:tc>
      </w:tr>
      <w:tr w14:paraId="3DD0B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4" w:hRule="atLeast"/>
          <w:jc w:val="center"/>
        </w:trPr>
        <w:tc>
          <w:tcPr>
            <w:tcW w:w="1206" w:type="dxa"/>
            <w:vMerge w:val="continue"/>
            <w:tcBorders>
              <w:top w:val="nil"/>
            </w:tcBorders>
            <w:textDirection w:val="tbRlV"/>
            <w:vAlign w:val="center"/>
          </w:tcPr>
          <w:p w14:paraId="75A687ED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</w:tc>
        <w:tc>
          <w:tcPr>
            <w:tcW w:w="1255" w:type="dxa"/>
            <w:vAlign w:val="center"/>
          </w:tcPr>
          <w:p w14:paraId="5BCAE6C7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8"/>
                <w:sz w:val="18"/>
                <w:szCs w:val="18"/>
                <w:highlight w:val="none"/>
              </w:rPr>
              <w:t>项目团队(22分)</w:t>
            </w:r>
          </w:p>
        </w:tc>
        <w:tc>
          <w:tcPr>
            <w:tcW w:w="6950" w:type="dxa"/>
            <w:vAlign w:val="center"/>
          </w:tcPr>
          <w:p w14:paraId="4C4B958B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z w:val="18"/>
                <w:szCs w:val="18"/>
                <w:highlight w:val="none"/>
                <w:lang w:eastAsia="zh-CN"/>
              </w:rPr>
              <w:t>项目负责人：(1)具备</w:t>
            </w:r>
            <w:bookmarkStart w:id="0" w:name="OLE_LINK2"/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城乡规划</w:t>
            </w:r>
            <w:bookmarkEnd w:id="0"/>
            <w:r>
              <w:rPr>
                <w:sz w:val="18"/>
                <w:szCs w:val="18"/>
                <w:highlight w:val="none"/>
                <w:lang w:eastAsia="zh-CN"/>
              </w:rPr>
              <w:t>高级工程师或以上职称； (2)具备专业注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册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规划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师；同时具备(1)、(2)项</w:t>
            </w:r>
            <w:r>
              <w:rPr>
                <w:sz w:val="18"/>
                <w:szCs w:val="18"/>
                <w:highlight w:val="none"/>
                <w:lang w:eastAsia="zh-CN"/>
              </w:rPr>
              <w:t>的得10分，仅有其中1项的得5分，其他不得分，本项最高不超过10</w:t>
            </w:r>
            <w:r>
              <w:rPr>
                <w:spacing w:val="-1"/>
                <w:sz w:val="18"/>
                <w:szCs w:val="18"/>
                <w:highlight w:val="none"/>
                <w:lang w:eastAsia="zh-CN"/>
              </w:rPr>
              <w:t>分。</w:t>
            </w:r>
          </w:p>
          <w:p w14:paraId="39BA01FD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z w:val="18"/>
                <w:szCs w:val="18"/>
                <w:highlight w:val="none"/>
                <w:lang w:eastAsia="zh-CN"/>
              </w:rPr>
              <w:t>项目团队成员：(1)具备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城乡规划高级</w:t>
            </w:r>
            <w:r>
              <w:rPr>
                <w:sz w:val="18"/>
                <w:szCs w:val="18"/>
                <w:highlight w:val="none"/>
                <w:lang w:eastAsia="zh-CN"/>
              </w:rPr>
              <w:t>工程师或以上职称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每一名成员具备以上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职称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得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3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分，本项最高得分不超过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6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分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；（2）具备城乡规划工程师职称，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每一名成员具备以上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职称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得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3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分，本项最高得分不超过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6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分</w:t>
            </w:r>
            <w:r>
              <w:rPr>
                <w:rFonts w:hint="eastAsia"/>
                <w:spacing w:val="1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40B8066E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pacing w:val="-2"/>
                <w:sz w:val="18"/>
                <w:szCs w:val="18"/>
                <w:highlight w:val="none"/>
                <w:lang w:eastAsia="zh-CN"/>
              </w:rPr>
              <w:t>注：需提供职称证书或执业资格证书复印件：</w:t>
            </w:r>
            <w:r>
              <w:rPr>
                <w:spacing w:val="-3"/>
                <w:sz w:val="18"/>
                <w:szCs w:val="18"/>
                <w:highlight w:val="none"/>
                <w:lang w:eastAsia="zh-CN"/>
              </w:rPr>
              <w:t>提供资料不全的不得分，且需要提供团队成员在报价单位购买6个月或以上的社保证明。</w:t>
            </w:r>
          </w:p>
        </w:tc>
      </w:tr>
      <w:tr w14:paraId="40FB7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  <w:jc w:val="center"/>
        </w:trPr>
        <w:tc>
          <w:tcPr>
            <w:tcW w:w="120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5E7981E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  <w:p w14:paraId="57FB6297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  <w:p w14:paraId="67936D00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6"/>
                <w:sz w:val="18"/>
                <w:szCs w:val="18"/>
                <w:highlight w:val="none"/>
              </w:rPr>
              <w:t>技术部分</w:t>
            </w:r>
          </w:p>
        </w:tc>
        <w:tc>
          <w:tcPr>
            <w:tcW w:w="1255" w:type="dxa"/>
            <w:vAlign w:val="center"/>
          </w:tcPr>
          <w:p w14:paraId="19B1EA5B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z w:val="18"/>
                <w:szCs w:val="18"/>
                <w:highlight w:val="none"/>
                <w:lang w:eastAsia="zh-CN"/>
              </w:rPr>
              <w:t>项目的总体理解与思路(15分 )</w:t>
            </w:r>
          </w:p>
        </w:tc>
        <w:tc>
          <w:tcPr>
            <w:tcW w:w="6950" w:type="dxa"/>
            <w:vAlign w:val="center"/>
          </w:tcPr>
          <w:p w14:paraId="6D3B86BA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（1）</w:t>
            </w:r>
            <w:r>
              <w:rPr>
                <w:sz w:val="18"/>
                <w:szCs w:val="18"/>
                <w:highlight w:val="none"/>
                <w:lang w:eastAsia="zh-CN"/>
              </w:rPr>
              <w:t>对项目的理解程度深入，对工作目的及意义理解准确，思路清晰，符合采购人需求，框架结构清晰，体系完善，得10-15分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；</w:t>
            </w:r>
          </w:p>
          <w:p w14:paraId="0707F1EE">
            <w:pPr>
              <w:pStyle w:val="11"/>
              <w:rPr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对项目的理解程度较深入，对工作目的及意义理解较准确，思路较清晰， 基本符合采购人需求，框架结构较清晰，体系基本完善，得5-9分；</w:t>
            </w:r>
          </w:p>
          <w:p w14:paraId="5B8D956D">
            <w:pPr>
              <w:pStyle w:val="11"/>
              <w:rPr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对项目的理解程度不够深入，对工作目的及意义理解不够准确，思路不够清晰，符合部分采购人需求，框架结构简单，体系不够完善，得1-4分；</w:t>
            </w:r>
          </w:p>
          <w:p w14:paraId="18D6A7B5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其他或无提供，得0分。</w:t>
            </w:r>
          </w:p>
        </w:tc>
      </w:tr>
      <w:tr w14:paraId="08F0F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  <w:jc w:val="center"/>
        </w:trPr>
        <w:tc>
          <w:tcPr>
            <w:tcW w:w="1206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B28B022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</w:tc>
        <w:tc>
          <w:tcPr>
            <w:tcW w:w="1255" w:type="dxa"/>
            <w:vAlign w:val="center"/>
          </w:tcPr>
          <w:p w14:paraId="3EE59915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服务承诺及质量保证措施</w:t>
            </w:r>
            <w:r>
              <w:rPr>
                <w:spacing w:val="4"/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spacing w:val="14"/>
                <w:sz w:val="18"/>
                <w:szCs w:val="18"/>
                <w:highlight w:val="none"/>
                <w:lang w:eastAsia="zh-CN"/>
              </w:rPr>
              <w:t>(10分)</w:t>
            </w:r>
          </w:p>
        </w:tc>
        <w:tc>
          <w:tcPr>
            <w:tcW w:w="6950" w:type="dxa"/>
            <w:vAlign w:val="center"/>
          </w:tcPr>
          <w:p w14:paraId="246CA069">
            <w:pPr>
              <w:pStyle w:val="11"/>
              <w:rPr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（1）</w:t>
            </w:r>
            <w:r>
              <w:rPr>
                <w:sz w:val="18"/>
                <w:szCs w:val="18"/>
                <w:highlight w:val="none"/>
                <w:lang w:eastAsia="zh-CN"/>
              </w:rPr>
              <w:t>提供的服务承诺、质量保证措施和手段、质控体系完整性，能有效保证服务成果，得6-10分；</w:t>
            </w:r>
          </w:p>
          <w:p w14:paraId="582FD7E5">
            <w:pPr>
              <w:pStyle w:val="11"/>
              <w:rPr>
                <w:spacing w:val="3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提供的服务承诺、质量保证措施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和手段、质控体系完整性，能较有效保证服务成果，得5-9分；</w:t>
            </w:r>
          </w:p>
          <w:p w14:paraId="1DF1953A">
            <w:pPr>
              <w:pStyle w:val="11"/>
              <w:rPr>
                <w:spacing w:val="3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 xml:space="preserve"> 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提供的服务承诺、质量保证措施和手段、质控体系完整性，不足以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保证服务成果，得1-</w:t>
            </w:r>
            <w:r>
              <w:rPr>
                <w:rFonts w:hint="eastAsia"/>
                <w:spacing w:val="3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分；</w:t>
            </w:r>
          </w:p>
          <w:p w14:paraId="7A318A24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其他或无提供，得0分。</w:t>
            </w:r>
          </w:p>
        </w:tc>
      </w:tr>
      <w:tr w14:paraId="3EEF1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  <w:jc w:val="center"/>
        </w:trPr>
        <w:tc>
          <w:tcPr>
            <w:tcW w:w="1206" w:type="dxa"/>
            <w:vMerge w:val="continue"/>
            <w:tcBorders>
              <w:top w:val="nil"/>
            </w:tcBorders>
            <w:textDirection w:val="tbRlV"/>
            <w:vAlign w:val="center"/>
          </w:tcPr>
          <w:p w14:paraId="42C8BDF6">
            <w:pPr>
              <w:jc w:val="center"/>
              <w:rPr>
                <w:rFonts w:hint="eastAsia" w:ascii="Arial"/>
                <w:sz w:val="10"/>
                <w:szCs w:val="11"/>
                <w:highlight w:val="none"/>
              </w:rPr>
            </w:pPr>
          </w:p>
        </w:tc>
        <w:tc>
          <w:tcPr>
            <w:tcW w:w="1255" w:type="dxa"/>
            <w:vAlign w:val="center"/>
          </w:tcPr>
          <w:p w14:paraId="53E92805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8"/>
                <w:sz w:val="18"/>
                <w:szCs w:val="18"/>
                <w:highlight w:val="none"/>
              </w:rPr>
              <w:t>服务方案(15分)</w:t>
            </w:r>
          </w:p>
        </w:tc>
        <w:tc>
          <w:tcPr>
            <w:tcW w:w="6950" w:type="dxa"/>
            <w:vAlign w:val="center"/>
          </w:tcPr>
          <w:p w14:paraId="4CBC45F7">
            <w:pPr>
              <w:pStyle w:val="11"/>
              <w:rPr>
                <w:spacing w:val="2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1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对项目要求</w:t>
            </w:r>
            <w:r>
              <w:rPr>
                <w:rFonts w:hint="eastAsia"/>
                <w:spacing w:val="3"/>
                <w:sz w:val="18"/>
                <w:szCs w:val="18"/>
                <w:highlight w:val="none"/>
                <w:lang w:eastAsia="zh-CN"/>
              </w:rPr>
              <w:t>（包括白云区现状分拣中心的情况、国内外分拣中心案例做法、分拣中心建设标准和技术要求、分拣中心建设模式等，下同）</w:t>
            </w:r>
            <w:r>
              <w:rPr>
                <w:spacing w:val="3"/>
                <w:sz w:val="18"/>
                <w:szCs w:val="18"/>
                <w:highlight w:val="none"/>
                <w:lang w:eastAsia="zh-CN"/>
              </w:rPr>
              <w:t>分析准确，对基本服务、服务内容所做的方案全面、</w:t>
            </w: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合理</w:t>
            </w:r>
            <w:r>
              <w:rPr>
                <w:rFonts w:hint="eastAsia"/>
                <w:spacing w:val="2"/>
                <w:sz w:val="18"/>
                <w:szCs w:val="18"/>
                <w:highlight w:val="none"/>
                <w:lang w:eastAsia="zh-CN"/>
              </w:rPr>
              <w:t>、详细</w:t>
            </w: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，具有可操作性等方面有较突出反映，得11-15分；</w:t>
            </w:r>
          </w:p>
          <w:p w14:paraId="30DB9D72">
            <w:pPr>
              <w:pStyle w:val="11"/>
              <w:rPr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pacing w:val="2"/>
                <w:sz w:val="18"/>
                <w:szCs w:val="18"/>
                <w:highlight w:val="none"/>
                <w:lang w:eastAsia="zh-CN"/>
              </w:rPr>
              <w:t>对项目</w:t>
            </w:r>
            <w:r>
              <w:rPr>
                <w:spacing w:val="-11"/>
                <w:sz w:val="18"/>
                <w:szCs w:val="18"/>
                <w:highlight w:val="none"/>
                <w:lang w:eastAsia="zh-CN"/>
              </w:rPr>
              <w:t>要求分析较准确，对基本服务、服务内容所做的方案较全面、合理、</w:t>
            </w:r>
            <w:r>
              <w:rPr>
                <w:sz w:val="18"/>
                <w:szCs w:val="18"/>
                <w:highlight w:val="none"/>
                <w:lang w:eastAsia="zh-CN"/>
              </w:rPr>
              <w:t>具有可操作性等方面有较好反映，得5-10分；</w:t>
            </w:r>
          </w:p>
          <w:p w14:paraId="704BF25D">
            <w:pPr>
              <w:pStyle w:val="11"/>
              <w:rPr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对项目要求分析</w:t>
            </w:r>
            <w:r>
              <w:rPr>
                <w:spacing w:val="1"/>
                <w:sz w:val="18"/>
                <w:szCs w:val="18"/>
                <w:highlight w:val="none"/>
                <w:lang w:eastAsia="zh-CN"/>
              </w:rPr>
              <w:t>不够准确，对基本服务、服务内容所做的方案不</w:t>
            </w:r>
            <w:r>
              <w:rPr>
                <w:sz w:val="18"/>
                <w:szCs w:val="18"/>
                <w:highlight w:val="none"/>
                <w:lang w:eastAsia="zh-CN"/>
              </w:rPr>
              <w:t>全面、具有可操作性等方面有基础描述，得1-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sz w:val="18"/>
                <w:szCs w:val="18"/>
                <w:highlight w:val="none"/>
                <w:lang w:eastAsia="zh-CN"/>
              </w:rPr>
              <w:t>分；</w:t>
            </w:r>
          </w:p>
          <w:p w14:paraId="7EACFB9A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4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sz w:val="18"/>
                <w:szCs w:val="18"/>
                <w:highlight w:val="none"/>
                <w:lang w:eastAsia="zh-CN"/>
              </w:rPr>
              <w:t>其他或无提供，得0分。</w:t>
            </w:r>
            <w:bookmarkStart w:id="1" w:name="_GoBack"/>
            <w:bookmarkEnd w:id="1"/>
          </w:p>
        </w:tc>
      </w:tr>
      <w:tr w14:paraId="53B2A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7" w:hRule="atLeast"/>
          <w:jc w:val="center"/>
        </w:trPr>
        <w:tc>
          <w:tcPr>
            <w:tcW w:w="1206" w:type="dxa"/>
            <w:vAlign w:val="center"/>
          </w:tcPr>
          <w:p w14:paraId="7672ED6B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7"/>
                <w:sz w:val="18"/>
                <w:szCs w:val="18"/>
                <w:highlight w:val="none"/>
              </w:rPr>
              <w:t>报价</w:t>
            </w:r>
          </w:p>
        </w:tc>
        <w:tc>
          <w:tcPr>
            <w:tcW w:w="1255" w:type="dxa"/>
            <w:vAlign w:val="center"/>
          </w:tcPr>
          <w:p w14:paraId="05B512C7">
            <w:pPr>
              <w:pStyle w:val="11"/>
              <w:jc w:val="center"/>
              <w:rPr>
                <w:rFonts w:hint="eastAsia"/>
                <w:sz w:val="18"/>
                <w:szCs w:val="18"/>
                <w:highlight w:val="none"/>
              </w:rPr>
            </w:pPr>
            <w:r>
              <w:rPr>
                <w:spacing w:val="6"/>
                <w:sz w:val="18"/>
                <w:szCs w:val="18"/>
                <w:highlight w:val="none"/>
              </w:rPr>
              <w:t>投标报价得分(20分)</w:t>
            </w:r>
          </w:p>
        </w:tc>
        <w:tc>
          <w:tcPr>
            <w:tcW w:w="6950" w:type="dxa"/>
            <w:vAlign w:val="center"/>
          </w:tcPr>
          <w:p w14:paraId="292FBEC8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价格计算方法采用基准价法：</w:t>
            </w:r>
          </w:p>
          <w:p w14:paraId="5C2F62F1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1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以评标基准价作为计算各有效报价总报价得分的基础，当有效总报价等于评标基准价时得20分；有效总报价与评标基准价相比，每上偏1%扣1分，每下偏1%扣0.5分。最多扣20分。得分精确到小数点后两位，第三位小数四舍五入。</w:t>
            </w:r>
          </w:p>
          <w:p w14:paraId="49FA262E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2</w:t>
            </w:r>
            <w:r>
              <w:rPr>
                <w:rFonts w:hint="eastAsia"/>
                <w:sz w:val="18"/>
                <w:szCs w:val="18"/>
                <w:highlight w:val="none"/>
                <w:lang w:val="en-US" w:eastAsia="zh-CN"/>
              </w:rPr>
              <w:t>.</w:t>
            </w: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异常价格的判定：</w:t>
            </w:r>
          </w:p>
          <w:p w14:paraId="3A170847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1）异常价格是指与整体报价水平相比过高或过低的有效响应报价。以所有有效评审价算术平均值50%作为异常价格判定下限，200%作为异常价格判定上限，高于(不含)上限的为异常高价，低于(不含)下限的为异常低价。异常价不参与基准价计算，剔除异常价格后取其余有效报价进行基准价计算。</w:t>
            </w:r>
          </w:p>
          <w:p w14:paraId="74D1C98C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（2）当无异常价或剔除异常价格后的有效报价人少于5家时取所有有效报价人评审价平均值作为基准价；</w:t>
            </w:r>
          </w:p>
          <w:p w14:paraId="7FB2A0E5">
            <w:pPr>
              <w:pStyle w:val="11"/>
              <w:rPr>
                <w:rFonts w:hint="eastAsia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/>
                <w:sz w:val="18"/>
                <w:szCs w:val="18"/>
                <w:highlight w:val="none"/>
                <w:lang w:eastAsia="zh-CN"/>
              </w:rPr>
              <w:t>（3）当无异常价或剔除异常价格后的有效响应报价人大于或等于5家时，去掉1个最高评审价和1个最低评审价后，将其余报价人的评审价计算平均值，以平均值作为基准价。</w:t>
            </w:r>
          </w:p>
        </w:tc>
      </w:tr>
    </w:tbl>
    <w:p w14:paraId="3DED02A9"/>
    <w:sectPr>
      <w:footerReference r:id="rId3" w:type="default"/>
      <w:pgSz w:w="11906" w:h="16838"/>
      <w:pgMar w:top="1474" w:right="1474" w:bottom="103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889852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E87E9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E87E9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ZjgzZmUxMWY1OWVmMTc0NDNjODNiZjIyMWIyMzAifQ=="/>
    <w:docVar w:name="KGWebUrl" w:val="https://oa.bycoop.com/seeyon/officeservlet"/>
  </w:docVars>
  <w:rsids>
    <w:rsidRoot w:val="2AC813AC"/>
    <w:rsid w:val="007F7F94"/>
    <w:rsid w:val="00D54636"/>
    <w:rsid w:val="00DC113B"/>
    <w:rsid w:val="0A2A5393"/>
    <w:rsid w:val="0F78184E"/>
    <w:rsid w:val="1AFD4CBB"/>
    <w:rsid w:val="1F1564FD"/>
    <w:rsid w:val="2AC813AC"/>
    <w:rsid w:val="34561161"/>
    <w:rsid w:val="43CD225F"/>
    <w:rsid w:val="4A8C305D"/>
    <w:rsid w:val="6B6733D0"/>
    <w:rsid w:val="6E7B00D0"/>
    <w:rsid w:val="764D630B"/>
    <w:rsid w:val="7B0E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semiHidden/>
    <w:unhideWhenUsed/>
    <w:qFormat/>
    <w:uiPriority w:val="99"/>
    <w:pPr>
      <w:spacing w:after="120" w:line="480" w:lineRule="auto"/>
    </w:pPr>
  </w:style>
  <w:style w:type="character" w:customStyle="1" w:styleId="9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批注框文本 Char"/>
    <w:basedOn w:val="8"/>
    <w:link w:val="3"/>
    <w:qFormat/>
    <w:uiPriority w:val="0"/>
    <w:rPr>
      <w:kern w:val="2"/>
      <w:sz w:val="18"/>
      <w:szCs w:val="18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34"/>
      <w:szCs w:val="34"/>
      <w:lang w:eastAsia="en-US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1513</Words>
  <Characters>1582</Characters>
  <Lines>8</Lines>
  <Paragraphs>2</Paragraphs>
  <TotalTime>3</TotalTime>
  <ScaleCrop>false</ScaleCrop>
  <LinksUpToDate>false</LinksUpToDate>
  <CharactersWithSpaces>1588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2024-09-09T07:24:00Z</dcterms:created>
  <dc:creator>易安琦</dc:creator>
  <cp:lastModifiedBy>朱洁韩</cp:lastModifiedBy>
  <cp:lastPrinted>2025-12-03T02:26:53Z</cp:lastPrinted>
  <dcterms:modified xsi:type="dcterms:W3CDTF">2025-12-03T02:27:01Z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37F03473BB584EE487860AF06F0BE2D1_13</vt:lpwstr>
  </property>
  <property fmtid="{D5CDD505-2E9C-101B-9397-08002B2CF9AE}" pid="4" name="KSOTemplateDocerSaveRecord">
    <vt:lpwstr>eyJoZGlkIjoiZjE1MDM1OTRjZjk4NmEyOGE4NmNkMjQ4MWU0MWE5MWEiLCJ1c2VySWQiOiIxNzY5OTI5NTAxIn0=</vt:lpwstr>
  </property>
</Properties>
</file>