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A939A8">
      <w:pPr>
        <w:spacing w:line="560" w:lineRule="exact"/>
        <w:jc w:val="left"/>
        <w:rPr>
          <w:rFonts w:ascii="仿宋_GB2312" w:hAnsi="仿宋" w:eastAsia="仿宋_GB2312" w:cs="仿宋"/>
          <w:b/>
          <w:sz w:val="28"/>
          <w:szCs w:val="28"/>
        </w:rPr>
      </w:pPr>
      <w:bookmarkStart w:id="0" w:name="_GoBack"/>
      <w:bookmarkEnd w:id="0"/>
      <w:r>
        <w:rPr>
          <w:rFonts w:hint="eastAsia" w:ascii="仿宋_GB2312" w:hAnsi="仿宋" w:eastAsia="仿宋_GB2312" w:cs="仿宋"/>
          <w:b/>
          <w:sz w:val="28"/>
          <w:szCs w:val="28"/>
        </w:rPr>
        <w:t>附件</w:t>
      </w:r>
      <w:r>
        <w:rPr>
          <w:rFonts w:ascii="仿宋_GB2312" w:hAnsi="仿宋" w:eastAsia="仿宋_GB2312" w:cs="仿宋"/>
          <w:b/>
          <w:sz w:val="28"/>
          <w:szCs w:val="28"/>
        </w:rPr>
        <w:t>2</w:t>
      </w:r>
      <w:r>
        <w:rPr>
          <w:rFonts w:hint="eastAsia" w:ascii="仿宋_GB2312" w:hAnsi="仿宋" w:eastAsia="仿宋_GB2312" w:cs="仿宋"/>
          <w:b/>
          <w:sz w:val="28"/>
          <w:szCs w:val="28"/>
        </w:rPr>
        <w:t>：</w:t>
      </w:r>
    </w:p>
    <w:p w14:paraId="767B4E5B">
      <w:pPr>
        <w:pStyle w:val="8"/>
        <w:spacing w:line="560" w:lineRule="exact"/>
        <w:jc w:val="center"/>
        <w:rPr>
          <w:rFonts w:ascii="方正小标宋简体" w:hAnsi="仿宋" w:eastAsia="方正小标宋简体" w:cs="仿宋"/>
          <w:b/>
          <w:sz w:val="36"/>
          <w:szCs w:val="32"/>
        </w:rPr>
      </w:pPr>
    </w:p>
    <w:p w14:paraId="359D13BD">
      <w:pPr>
        <w:pStyle w:val="8"/>
        <w:spacing w:line="560" w:lineRule="exact"/>
        <w:jc w:val="center"/>
        <w:rPr>
          <w:rFonts w:ascii="方正小标宋简体" w:hAnsi="宋体" w:eastAsia="方正小标宋简体" w:cs="宋体"/>
          <w:sz w:val="44"/>
          <w:szCs w:val="44"/>
        </w:rPr>
      </w:pPr>
      <w:r>
        <w:rPr>
          <w:rFonts w:hint="eastAsia" w:ascii="方正小标宋简体" w:hAnsi="宋体" w:eastAsia="方正小标宋简体" w:cs="宋体"/>
          <w:sz w:val="44"/>
          <w:szCs w:val="44"/>
        </w:rPr>
        <w:t>项目基本情况及商务条件</w:t>
      </w:r>
    </w:p>
    <w:p w14:paraId="7A68A606">
      <w:pPr>
        <w:pStyle w:val="8"/>
        <w:spacing w:line="560" w:lineRule="exact"/>
        <w:jc w:val="left"/>
        <w:rPr>
          <w:rFonts w:ascii="黑体" w:hAnsi="黑体" w:eastAsia="黑体" w:cs="仿宋"/>
          <w:sz w:val="32"/>
          <w:szCs w:val="32"/>
        </w:rPr>
      </w:pPr>
    </w:p>
    <w:p w14:paraId="77ECE973">
      <w:pPr>
        <w:pStyle w:val="8"/>
        <w:spacing w:line="560" w:lineRule="exact"/>
        <w:ind w:firstLine="640" w:firstLineChars="200"/>
        <w:jc w:val="left"/>
        <w:rPr>
          <w:rFonts w:ascii="黑体" w:hAnsi="黑体" w:eastAsia="黑体" w:cs="仿宋"/>
          <w:sz w:val="32"/>
          <w:szCs w:val="32"/>
        </w:rPr>
      </w:pPr>
      <w:r>
        <w:rPr>
          <w:rFonts w:hint="eastAsia" w:ascii="黑体" w:hAnsi="黑体" w:eastAsia="黑体" w:cs="仿宋"/>
          <w:sz w:val="32"/>
          <w:szCs w:val="32"/>
        </w:rPr>
        <w:t>一、项目基本情况</w:t>
      </w:r>
    </w:p>
    <w:p w14:paraId="4D53A77E">
      <w:pPr>
        <w:spacing w:line="560" w:lineRule="exact"/>
        <w:rPr>
          <w:rFonts w:hint="eastAsia" w:ascii="仿宋_GB2312" w:hAnsi="仿宋_GB2312" w:eastAsia="仿宋_GB2312" w:cs="仿宋_GB2312"/>
          <w:sz w:val="32"/>
        </w:rPr>
      </w:pPr>
      <w:r>
        <w:rPr>
          <w:rFonts w:hint="eastAsia" w:ascii="仿宋_GB2312" w:hAnsi="仿宋_GB2312" w:eastAsia="仿宋_GB2312" w:cs="仿宋_GB2312"/>
          <w:sz w:val="32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lang w:eastAsia="zh-CN"/>
        </w:rPr>
        <w:t>项目选址地块位于白云区龙归街永兴村范围内，机场第二高速南面，龙河东路以西</w:t>
      </w:r>
      <w:r>
        <w:rPr>
          <w:rFonts w:hint="eastAsia" w:ascii="仿宋_GB2312" w:hAnsi="仿宋_GB2312" w:eastAsia="仿宋_GB2312" w:cs="仿宋_GB2312"/>
          <w:sz w:val="32"/>
        </w:rPr>
        <w:t>。项目预计总投资额约为</w:t>
      </w:r>
      <w:r>
        <w:rPr>
          <w:rFonts w:hint="eastAsia" w:ascii="仿宋_GB2312" w:hAnsi="仿宋_GB2312" w:eastAsia="仿宋_GB2312" w:cs="仿宋_GB2312"/>
          <w:sz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</w:rPr>
        <w:t>亿元人民币，根据该地块现行的规划指标，</w:t>
      </w:r>
      <w:r>
        <w:rPr>
          <w:rFonts w:hint="eastAsia" w:ascii="仿宋_GB2312" w:hAnsi="仿宋_GB2312" w:eastAsia="仿宋_GB2312" w:cs="仿宋_GB2312"/>
          <w:sz w:val="32"/>
          <w:lang w:eastAsia="zh-CN"/>
        </w:rPr>
        <w:t>规划用地性质为一类工业用地/二类工业用地，选址</w:t>
      </w:r>
      <w:r>
        <w:rPr>
          <w:rFonts w:hint="eastAsia" w:ascii="仿宋_GB2312" w:hAnsi="仿宋_GB2312" w:eastAsia="仿宋_GB2312" w:cs="仿宋_GB2312"/>
          <w:sz w:val="32"/>
        </w:rPr>
        <w:t>总用地面积约</w:t>
      </w:r>
      <w:r>
        <w:rPr>
          <w:rFonts w:hint="eastAsia" w:ascii="仿宋_GB2312" w:hAnsi="仿宋_GB2312" w:eastAsia="仿宋_GB2312" w:cs="仿宋_GB2312"/>
          <w:sz w:val="32"/>
          <w:lang w:val="en-US" w:eastAsia="zh-CN"/>
        </w:rPr>
        <w:t>67.3</w:t>
      </w:r>
      <w:r>
        <w:rPr>
          <w:rFonts w:hint="eastAsia" w:ascii="仿宋_GB2312" w:hAnsi="仿宋_GB2312" w:eastAsia="仿宋_GB2312" w:cs="仿宋_GB2312"/>
          <w:sz w:val="32"/>
        </w:rPr>
        <w:t>亩，容积率</w:t>
      </w:r>
      <w:r>
        <w:rPr>
          <w:rFonts w:hint="eastAsia" w:ascii="仿宋_GB2312" w:hAnsi="仿宋_GB2312" w:eastAsia="仿宋_GB2312" w:cs="仿宋_GB2312"/>
          <w:sz w:val="32"/>
          <w:lang w:val="en-US" w:eastAsia="zh-CN"/>
        </w:rPr>
        <w:t>2.0-4.0</w:t>
      </w:r>
      <w:r>
        <w:rPr>
          <w:rFonts w:hint="eastAsia" w:ascii="仿宋_GB2312" w:hAnsi="仿宋_GB2312" w:eastAsia="仿宋_GB2312" w:cs="仿宋_GB2312"/>
          <w:sz w:val="32"/>
        </w:rPr>
        <w:t xml:space="preserve">。 </w:t>
      </w:r>
    </w:p>
    <w:p w14:paraId="6A2F0C24">
      <w:pPr>
        <w:spacing w:line="560" w:lineRule="exact"/>
        <w:ind w:firstLine="640" w:firstLineChars="200"/>
        <w:jc w:val="left"/>
        <w:rPr>
          <w:rFonts w:ascii="黑体" w:hAnsi="黑体" w:eastAsia="黑体"/>
          <w:sz w:val="32"/>
        </w:rPr>
      </w:pPr>
      <w:r>
        <w:rPr>
          <w:rFonts w:hint="eastAsia" w:ascii="黑体" w:hAnsi="黑体" w:eastAsia="黑体"/>
          <w:sz w:val="32"/>
        </w:rPr>
        <w:t>二、商务条件</w:t>
      </w:r>
    </w:p>
    <w:p w14:paraId="029244F2">
      <w:pPr>
        <w:tabs>
          <w:tab w:val="left" w:pos="180"/>
          <w:tab w:val="left" w:pos="720"/>
          <w:tab w:val="left" w:pos="1197"/>
        </w:tabs>
        <w:spacing w:line="560" w:lineRule="exact"/>
        <w:ind w:firstLine="321" w:firstLineChars="100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（一）编制技术标准</w:t>
      </w:r>
    </w:p>
    <w:p w14:paraId="7BABD680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22"/>
        </w:rPr>
      </w:pPr>
      <w:r>
        <w:rPr>
          <w:rFonts w:hint="eastAsia" w:ascii="仿宋_GB2312" w:hAnsi="仿宋_GB2312" w:eastAsia="仿宋_GB2312" w:cs="仿宋_GB2312"/>
          <w:sz w:val="32"/>
          <w:szCs w:val="22"/>
        </w:rPr>
        <w:t>依据国家和地方有关建设工程勘察设计规范，《投资项目可行性研究指南（试用版）》《国家发展改革委、建设部关于印发建设项目经济评价方法与参数的通知》《建设项目经济评价方法与参数》。</w:t>
      </w:r>
    </w:p>
    <w:p w14:paraId="7E067F12">
      <w:pPr>
        <w:spacing w:line="560" w:lineRule="exact"/>
        <w:jc w:val="left"/>
        <w:rPr>
          <w:rFonts w:ascii="仿宋" w:hAnsi="仿宋" w:eastAsia="仿宋" w:cs="仿宋"/>
          <w:b/>
          <w:bCs/>
          <w:color w:val="000000" w:themeColor="text1"/>
          <w:sz w:val="32"/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2"/>
        </w:rPr>
        <w:t xml:space="preserve">  （二）编制工作内容</w:t>
      </w:r>
    </w:p>
    <w:p w14:paraId="51E1E5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1.</w:t>
      </w:r>
      <w:r>
        <w:rPr>
          <w:rFonts w:hint="eastAsia" w:ascii="楷体" w:hAnsi="楷体" w:eastAsia="楷体" w:cs="楷体"/>
          <w:sz w:val="32"/>
          <w:szCs w:val="32"/>
        </w:rPr>
        <w:t>调查研究与资料收集</w:t>
      </w:r>
    </w:p>
    <w:p w14:paraId="70AB7A57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2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22"/>
          <w:lang w:val="en-US" w:eastAsia="zh-CN"/>
        </w:rPr>
        <w:t>结合项目实际情况，组织开展现场踏勘与专项调研，系统收集项目所需各类基础资料（包括地块权属、规划条件、周边配套、产业政策、行业标准、造价信息等），并对资料进行分类整理与核实验证，确保其真实、完整、有效。</w:t>
      </w:r>
    </w:p>
    <w:p w14:paraId="28E707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2.核心内容编制</w:t>
      </w:r>
    </w:p>
    <w:p w14:paraId="79B5464B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2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22"/>
          <w:lang w:val="en-US" w:eastAsia="zh-CN"/>
        </w:rPr>
        <w:t>在调研基础上，根据不同用途分为三份报告成果，并分别编制核心内容，具体要求如下：</w:t>
      </w:r>
    </w:p>
    <w:p w14:paraId="1F867E10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2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22"/>
          <w:lang w:val="en-US" w:eastAsia="zh-CN"/>
        </w:rPr>
        <w:t>2.1资金申请报告：重点阐述资金申请依据、项目资金需求测算、资金筹措方案、资金使用计划、资金使用效益分析及还款计划（若有），并与项目建设内容、实施进度相衔接，论证资金申请的合理性、合规性，确保符合相关政策及主管部门要求，为项目争取资金支持提供依据。</w:t>
      </w:r>
    </w:p>
    <w:p w14:paraId="68E0426A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2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22"/>
          <w:lang w:val="en-US" w:eastAsia="zh-CN"/>
        </w:rPr>
        <w:t>2.2投资立项可行性研究报告：聚焦项目立项决策需求，系统梳理项目建设背景、政策依据及必要性，明确项目预期目标，分析项目建设基本条件（规划、用地、配套设施等），深入论证项目建设必要性与可行性，优化技术与工程建设方案，合理制定实施进度，完成投资估算与资金筹措分析，为立项审批与决策提供科学依据。</w:t>
      </w:r>
    </w:p>
    <w:p w14:paraId="4B576371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2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22"/>
          <w:lang w:val="en-US" w:eastAsia="zh-CN"/>
        </w:rPr>
        <w:t>2.3工程可行性研究报告编制：围绕工程实施需求，细化工程建设方案，开展工程技术可行性论证，精准测算工程投资明细，识别并分析工程建设风险，提出应对措施，为项目落地实施提供具体指导。</w:t>
      </w:r>
    </w:p>
    <w:p w14:paraId="23C376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3.</w:t>
      </w:r>
      <w:r>
        <w:rPr>
          <w:rFonts w:hint="eastAsia" w:ascii="楷体" w:hAnsi="楷体" w:eastAsia="楷体" w:cs="楷体"/>
          <w:sz w:val="32"/>
          <w:szCs w:val="32"/>
        </w:rPr>
        <w:t>综合评价</w:t>
      </w:r>
    </w:p>
    <w:p w14:paraId="1BC56929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2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22"/>
          <w:lang w:val="en-US" w:eastAsia="zh-CN"/>
        </w:rPr>
        <w:t>针对《报告》推荐的项目方案，分别开展专项评价，具体包括环境影响评价（分析项目建设对周边生态、环境的影响及环保治理措施）、社会影响评价（评估项目对区域经济、就业、民生的带动作用及社会适配性）及风险分析（识别项目建设、资金使用、工程实施等环节的风险点，制定防控措施），通过科学研判，明确项目的环境可行性、社会可行性，评估项目抗风险能力，为方案优化及决策提供有力支撑。</w:t>
      </w:r>
    </w:p>
    <w:p w14:paraId="7851DC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4.</w:t>
      </w:r>
      <w:r>
        <w:rPr>
          <w:rFonts w:hint="eastAsia" w:ascii="楷体" w:hAnsi="楷体" w:eastAsia="楷体" w:cs="楷体"/>
          <w:sz w:val="32"/>
          <w:szCs w:val="32"/>
        </w:rPr>
        <w:t>《报告》初稿编制</w:t>
      </w:r>
    </w:p>
    <w:p w14:paraId="4FA11D98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2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22"/>
          <w:lang w:val="en-US" w:eastAsia="zh-CN"/>
        </w:rPr>
        <w:t>在完成技术经济论证与方案优化基础上，按照国家及行业相关规范与编制大纲要求，分别形成三份报告的初稿，确保内容完整、逻辑清晰、数据准确、论证充分，满足立项、资金申报、工程实施及相关评审要求。</w:t>
      </w:r>
    </w:p>
    <w:p w14:paraId="13ECA9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5.</w:t>
      </w:r>
      <w:r>
        <w:rPr>
          <w:rFonts w:hint="eastAsia" w:ascii="楷体" w:hAnsi="楷体" w:eastAsia="楷体" w:cs="楷体"/>
          <w:sz w:val="32"/>
          <w:szCs w:val="32"/>
        </w:rPr>
        <w:t>征求意见与报告完善</w:t>
      </w:r>
    </w:p>
    <w:p w14:paraId="55904D05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2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22"/>
          <w:lang w:val="en-US" w:eastAsia="zh-CN"/>
        </w:rPr>
        <w:t>《报告》初稿编制完成后，及时沟通完善成果；同步配合业主，根据相关审查部门意见，对报告进行补充、优化，最终形成正式报告，确保符合项目审批及审查要求。</w:t>
      </w:r>
    </w:p>
    <w:p w14:paraId="7AEDC1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6.</w:t>
      </w:r>
      <w:r>
        <w:rPr>
          <w:rFonts w:hint="eastAsia" w:ascii="楷体" w:hAnsi="楷体" w:eastAsia="楷体" w:cs="楷体"/>
          <w:sz w:val="32"/>
          <w:szCs w:val="32"/>
        </w:rPr>
        <w:t>配合审查工作</w:t>
      </w:r>
    </w:p>
    <w:p w14:paraId="2B8DD559">
      <w:pPr>
        <w:widowControl/>
        <w:adjustRightInd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22"/>
        </w:rPr>
      </w:pPr>
      <w:r>
        <w:rPr>
          <w:rFonts w:hint="eastAsia" w:ascii="仿宋_GB2312" w:hAnsi="仿宋_GB2312" w:eastAsia="仿宋_GB2312" w:cs="仿宋_GB2312"/>
          <w:sz w:val="32"/>
          <w:szCs w:val="22"/>
          <w:lang w:val="en-US" w:eastAsia="zh-CN"/>
        </w:rPr>
        <w:t>协助业主准备审查所需辅助材料，参与相关部门组织的审查会议，及时响应审查意见，补充完善报告内容，确保顺利通过审查。</w:t>
      </w:r>
    </w:p>
    <w:p w14:paraId="5B95044A">
      <w:pPr>
        <w:pStyle w:val="4"/>
        <w:spacing w:line="560" w:lineRule="exact"/>
        <w:ind w:firstLine="643" w:firstLineChars="200"/>
        <w:rPr>
          <w:rFonts w:ascii="仿宋" w:hAnsi="仿宋" w:eastAsia="仿宋" w:cs="仿宋"/>
          <w:b/>
          <w:bCs/>
          <w:color w:val="000000" w:themeColor="text1"/>
          <w:sz w:val="32"/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2"/>
        </w:rPr>
        <w:t>（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lang w:eastAsia="zh-CN"/>
        </w:rPr>
        <w:t>三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</w:rPr>
        <w:t>）项目验收内容及验收方式</w:t>
      </w:r>
    </w:p>
    <w:p w14:paraId="6086456B">
      <w:pPr>
        <w:spacing w:line="600" w:lineRule="exact"/>
        <w:ind w:firstLine="640" w:firstLineChars="200"/>
        <w:rPr>
          <w:rFonts w:hint="eastAsia" w:ascii="楷体" w:hAnsi="楷体" w:eastAsia="楷体" w:cs="楷体"/>
          <w:sz w:val="32"/>
          <w:szCs w:val="32"/>
        </w:rPr>
      </w:pPr>
      <w:r>
        <w:rPr>
          <w:rFonts w:hint="default" w:ascii="楷体" w:hAnsi="楷体" w:eastAsia="楷体" w:cs="楷体"/>
          <w:sz w:val="32"/>
          <w:szCs w:val="32"/>
        </w:rPr>
        <w:t xml:space="preserve"> 1.项目验收内容</w:t>
      </w:r>
    </w:p>
    <w:p w14:paraId="328178EA">
      <w:pPr>
        <w:spacing w:line="560" w:lineRule="exact"/>
        <w:rPr>
          <w:rFonts w:hint="eastAsia" w:ascii="仿宋_GB2312" w:hAnsi="仿宋_GB2312" w:eastAsia="仿宋_GB2312" w:cs="仿宋_GB2312"/>
          <w:sz w:val="32"/>
          <w:szCs w:val="22"/>
        </w:rPr>
      </w:pPr>
      <w:r>
        <w:rPr>
          <w:rFonts w:hint="eastAsia" w:ascii="仿宋_GB2312" w:hAnsi="仿宋_GB2312" w:eastAsia="仿宋_GB2312" w:cs="仿宋_GB2312"/>
          <w:sz w:val="32"/>
          <w:szCs w:val="22"/>
        </w:rPr>
        <w:t xml:space="preserve">    《报告》结构满足《国家计委办公厅关于出版〈投资项目可行性研究指南（试用版）〉的通知》（计办投资〔2002〕15号）以及《投资项目可行性研究指南（试用版）》，应能充分反映项目可行性研究工作的成果，内容齐全，结论明确，数据准确，论据充分，满足委托方决策定方案定项目要求。</w:t>
      </w:r>
    </w:p>
    <w:p w14:paraId="7D2A4BD1">
      <w:pPr>
        <w:spacing w:line="600" w:lineRule="exact"/>
        <w:ind w:firstLine="640" w:firstLineChars="200"/>
        <w:rPr>
          <w:rFonts w:ascii="楷体" w:hAnsi="楷体" w:eastAsia="楷体" w:cs="楷体"/>
          <w:sz w:val="32"/>
          <w:szCs w:val="32"/>
        </w:rPr>
      </w:pPr>
      <w:r>
        <w:rPr>
          <w:rFonts w:hint="default" w:ascii="楷体" w:hAnsi="楷体" w:eastAsia="楷体" w:cs="楷体"/>
          <w:sz w:val="32"/>
          <w:szCs w:val="32"/>
        </w:rPr>
        <w:t xml:space="preserve">  2.项目验收方式</w:t>
      </w:r>
    </w:p>
    <w:p w14:paraId="13017BFC">
      <w:pPr>
        <w:pStyle w:val="4"/>
        <w:spacing w:line="560" w:lineRule="exact"/>
        <w:rPr>
          <w:rFonts w:hint="eastAsia" w:ascii="仿宋_GB2312" w:hAnsi="仿宋_GB2312" w:eastAsia="仿宋_GB2312" w:cs="仿宋_GB2312"/>
          <w:sz w:val="32"/>
          <w:szCs w:val="2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22"/>
        </w:rPr>
        <w:t xml:space="preserve">  材料审查验收。</w:t>
      </w:r>
    </w:p>
    <w:p w14:paraId="3E2BDE33">
      <w:pPr>
        <w:spacing w:line="600" w:lineRule="exact"/>
        <w:ind w:firstLine="640" w:firstLineChars="200"/>
        <w:rPr>
          <w:rFonts w:ascii="楷体" w:hAnsi="楷体" w:eastAsia="楷体" w:cs="楷体"/>
          <w:sz w:val="32"/>
          <w:szCs w:val="32"/>
        </w:rPr>
      </w:pPr>
      <w:r>
        <w:rPr>
          <w:rFonts w:hint="default" w:ascii="楷体" w:hAnsi="楷体" w:eastAsia="楷体" w:cs="楷体"/>
          <w:sz w:val="32"/>
          <w:szCs w:val="32"/>
        </w:rPr>
        <w:t xml:space="preserve"> 3.验收标准</w:t>
      </w:r>
    </w:p>
    <w:p w14:paraId="38F4A5AB">
      <w:pPr>
        <w:pStyle w:val="4"/>
        <w:rPr>
          <w:rFonts w:hint="eastAsia" w:ascii="仿宋_GB2312" w:hAnsi="仿宋_GB2312" w:eastAsia="仿宋_GB2312" w:cs="仿宋_GB2312"/>
          <w:b w:val="0"/>
          <w:sz w:val="32"/>
          <w:szCs w:val="2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22"/>
        </w:rPr>
        <w:t>服务方的最终成果文件通过委托方验收确认。</w:t>
      </w:r>
    </w:p>
    <w:p w14:paraId="0EBC7256">
      <w:pPr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TdlYWI5YjBlOTk4YjBlZWZjZjcwY2Q4NDFmZjk1YmEifQ=="/>
    <w:docVar w:name="KGWebUrl" w:val="https://oa.bycoop.com/seeyon/officeservlet"/>
  </w:docVars>
  <w:rsids>
    <w:rsidRoot w:val="2EEF7DBD"/>
    <w:rsid w:val="00487B4C"/>
    <w:rsid w:val="005A36C6"/>
    <w:rsid w:val="00604AF2"/>
    <w:rsid w:val="00854AD3"/>
    <w:rsid w:val="08C51E2C"/>
    <w:rsid w:val="17B13D51"/>
    <w:rsid w:val="1A0F56AC"/>
    <w:rsid w:val="1DC6012F"/>
    <w:rsid w:val="2EEF7DBD"/>
    <w:rsid w:val="32FB1169"/>
    <w:rsid w:val="35466831"/>
    <w:rsid w:val="6AFF591F"/>
    <w:rsid w:val="709B04C9"/>
    <w:rsid w:val="7F186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iPriority="99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3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  <w:sz w:val="32"/>
      <w:szCs w:val="32"/>
    </w:rPr>
  </w:style>
  <w:style w:type="character" w:default="1" w:styleId="10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  <w:rPr>
      <w:rFonts w:eastAsia="宋体"/>
      <w:szCs w:val="24"/>
    </w:rPr>
  </w:style>
  <w:style w:type="paragraph" w:styleId="4">
    <w:name w:val="Plain Text"/>
    <w:basedOn w:val="1"/>
    <w:qFormat/>
    <w:uiPriority w:val="0"/>
    <w:rPr>
      <w:rFonts w:ascii="宋体" w:hAnsi="Courier New" w:eastAsia="宋体"/>
    </w:rPr>
  </w:style>
  <w:style w:type="paragraph" w:styleId="5">
    <w:name w:val="Balloon Text"/>
    <w:basedOn w:val="1"/>
    <w:link w:val="14"/>
    <w:qFormat/>
    <w:uiPriority w:val="0"/>
    <w:rPr>
      <w:sz w:val="18"/>
      <w:szCs w:val="18"/>
    </w:rPr>
  </w:style>
  <w:style w:type="paragraph" w:styleId="6">
    <w:name w:val="footer"/>
    <w:basedOn w:val="1"/>
    <w:link w:val="13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2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Body Text 2"/>
    <w:basedOn w:val="1"/>
    <w:semiHidden/>
    <w:unhideWhenUsed/>
    <w:qFormat/>
    <w:uiPriority w:val="99"/>
    <w:pPr>
      <w:spacing w:after="120" w:line="480" w:lineRule="auto"/>
    </w:pPr>
  </w:style>
  <w:style w:type="paragraph" w:customStyle="1" w:styleId="11">
    <w:name w:val="Body text|1"/>
    <w:basedOn w:val="1"/>
    <w:qFormat/>
    <w:uiPriority w:val="0"/>
    <w:pPr>
      <w:spacing w:line="374" w:lineRule="auto"/>
      <w:ind w:firstLine="400"/>
    </w:pPr>
    <w:rPr>
      <w:rFonts w:ascii="宋体" w:hAnsi="宋体" w:eastAsia="宋体" w:cs="宋体"/>
      <w:sz w:val="30"/>
      <w:szCs w:val="30"/>
      <w:lang w:val="zh-TW" w:eastAsia="zh-TW" w:bidi="zh-TW"/>
    </w:rPr>
  </w:style>
  <w:style w:type="character" w:customStyle="1" w:styleId="12">
    <w:name w:val="页眉 Char"/>
    <w:basedOn w:val="10"/>
    <w:link w:val="7"/>
    <w:qFormat/>
    <w:uiPriority w:val="0"/>
    <w:rPr>
      <w:kern w:val="2"/>
      <w:sz w:val="18"/>
      <w:szCs w:val="18"/>
    </w:rPr>
  </w:style>
  <w:style w:type="character" w:customStyle="1" w:styleId="13">
    <w:name w:val="页脚 Char"/>
    <w:basedOn w:val="10"/>
    <w:link w:val="6"/>
    <w:uiPriority w:val="0"/>
    <w:rPr>
      <w:kern w:val="2"/>
      <w:sz w:val="18"/>
      <w:szCs w:val="18"/>
    </w:rPr>
  </w:style>
  <w:style w:type="character" w:customStyle="1" w:styleId="14">
    <w:name w:val="批注框文本 Char"/>
    <w:basedOn w:val="10"/>
    <w:link w:val="5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1401</Words>
  <Characters>1432</Characters>
  <Lines>6</Lines>
  <Paragraphs>1</Paragraphs>
  <TotalTime>17</TotalTime>
  <ScaleCrop>false</ScaleCrop>
  <LinksUpToDate>false</LinksUpToDate>
  <CharactersWithSpaces>1463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2024-09-09T07:15:00Z</dcterms:created>
  <dc:creator>易安琦</dc:creator>
  <cp:lastModifiedBy>邱静</cp:lastModifiedBy>
  <dcterms:modified xsi:type="dcterms:W3CDTF">2026-05-12T07:26:31Z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6091DCAE2AAF4A28A4B60E640EB7E607_13</vt:lpwstr>
  </property>
  <property fmtid="{D5CDD505-2E9C-101B-9397-08002B2CF9AE}" pid="4" name="KSOTemplateDocerSaveRecord">
    <vt:lpwstr>eyJoZGlkIjoiMTNmNWZiYmJiMGE1MDE2MzBmZjhmYzA5Y2VkOGY1MDgiLCJ1c2VySWQiOiI0NzE0NjUwNTMifQ==</vt:lpwstr>
  </property>
</Properties>
</file>