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EC340">
      <w:pPr>
        <w:spacing w:line="560" w:lineRule="exact"/>
        <w:jc w:val="left"/>
        <w:rPr>
          <w:rFonts w:ascii="方正小标宋简体" w:hAnsi="仿宋" w:eastAsia="方正小标宋简体" w:cs="仿宋"/>
          <w:b/>
          <w:sz w:val="36"/>
          <w:szCs w:val="32"/>
        </w:rPr>
      </w:pPr>
      <w:r>
        <w:rPr>
          <w:rFonts w:hint="eastAsia" w:ascii="仿宋_GB2312" w:hAnsi="仿宋" w:eastAsia="仿宋_GB2312" w:cs="仿宋"/>
          <w:b/>
          <w:sz w:val="28"/>
          <w:szCs w:val="28"/>
        </w:rPr>
        <w:t>附件</w:t>
      </w:r>
      <w:r>
        <w:rPr>
          <w:rFonts w:ascii="仿宋_GB2312" w:hAnsi="仿宋" w:eastAsia="仿宋_GB2312" w:cs="仿宋"/>
          <w:b/>
          <w:sz w:val="28"/>
          <w:szCs w:val="28"/>
        </w:rPr>
        <w:t>3</w:t>
      </w:r>
      <w:r>
        <w:rPr>
          <w:rFonts w:hint="eastAsia" w:ascii="仿宋_GB2312" w:hAnsi="仿宋" w:eastAsia="仿宋_GB2312" w:cs="仿宋"/>
          <w:b/>
          <w:sz w:val="28"/>
          <w:szCs w:val="28"/>
        </w:rPr>
        <w:t>：</w:t>
      </w:r>
    </w:p>
    <w:p w14:paraId="5156759B">
      <w:pPr>
        <w:pStyle w:val="5"/>
        <w:spacing w:line="56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择优评审表</w:t>
      </w:r>
    </w:p>
    <w:tbl>
      <w:tblPr>
        <w:tblStyle w:val="6"/>
        <w:tblW w:w="902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2391"/>
        <w:gridCol w:w="5460"/>
        <w:gridCol w:w="15"/>
      </w:tblGrid>
      <w:tr w14:paraId="6173B7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shd w:val="clear" w:color="auto" w:fill="auto"/>
            <w:vAlign w:val="center"/>
          </w:tcPr>
          <w:p w14:paraId="5E7B1C3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评审因素</w:t>
            </w:r>
          </w:p>
        </w:tc>
        <w:tc>
          <w:tcPr>
            <w:tcW w:w="7866" w:type="dxa"/>
            <w:gridSpan w:val="3"/>
            <w:shd w:val="clear" w:color="auto" w:fill="auto"/>
            <w:vAlign w:val="center"/>
          </w:tcPr>
          <w:p w14:paraId="13FF4FF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评审标准</w:t>
            </w:r>
          </w:p>
        </w:tc>
      </w:tr>
      <w:tr w14:paraId="31F128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shd w:val="clear" w:color="auto" w:fill="auto"/>
            <w:vAlign w:val="center"/>
          </w:tcPr>
          <w:p w14:paraId="7CD3D73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分值构成</w:t>
            </w:r>
          </w:p>
        </w:tc>
        <w:tc>
          <w:tcPr>
            <w:tcW w:w="7866" w:type="dxa"/>
            <w:gridSpan w:val="3"/>
            <w:shd w:val="clear" w:color="auto" w:fill="auto"/>
            <w:vAlign w:val="center"/>
          </w:tcPr>
          <w:p w14:paraId="10461BA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商务部分40分；技术部分40分；报价得分20分。</w:t>
            </w:r>
          </w:p>
        </w:tc>
      </w:tr>
      <w:tr w14:paraId="603222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Merge w:val="restart"/>
            <w:shd w:val="clear" w:color="auto" w:fill="auto"/>
            <w:textDirection w:val="tbLrV"/>
            <w:vAlign w:val="center"/>
          </w:tcPr>
          <w:p w14:paraId="3F070895">
            <w:pPr>
              <w:ind w:left="113" w:right="113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商务部分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786E66D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体系认证情况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 xml:space="preserve"> (6分)</w:t>
            </w:r>
          </w:p>
        </w:tc>
        <w:tc>
          <w:tcPr>
            <w:tcW w:w="5475" w:type="dxa"/>
            <w:gridSpan w:val="2"/>
            <w:shd w:val="clear" w:color="auto" w:fill="auto"/>
            <w:vAlign w:val="center"/>
          </w:tcPr>
          <w:p w14:paraId="79C3229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同时具有有效期内的质量管理体系认证证书、职业健康安全管理体系认证证书、环境管理体系认证证书，得6分。其他不得分。 注：需提供证书复印件，提供资料不全的不得分。</w:t>
            </w:r>
          </w:p>
        </w:tc>
      </w:tr>
      <w:tr w14:paraId="7C6223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54" w:type="dxa"/>
            <w:vMerge w:val="continue"/>
            <w:shd w:val="clear" w:color="auto" w:fill="auto"/>
            <w:textDirection w:val="tbLrV"/>
            <w:vAlign w:val="center"/>
          </w:tcPr>
          <w:p w14:paraId="1D47BC3D">
            <w:pPr>
              <w:ind w:left="113" w:right="113"/>
              <w:rPr>
                <w:rFonts w:asciiTheme="minorEastAsia" w:hAnsiTheme="minorEastAsia" w:cstheme="minorEastAsia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center"/>
          </w:tcPr>
          <w:p w14:paraId="518BD06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项目经验 (12分)</w:t>
            </w:r>
          </w:p>
        </w:tc>
        <w:tc>
          <w:tcPr>
            <w:tcW w:w="5475" w:type="dxa"/>
            <w:gridSpan w:val="2"/>
            <w:shd w:val="clear" w:color="auto" w:fill="auto"/>
            <w:vAlign w:val="center"/>
          </w:tcPr>
          <w:p w14:paraId="50667DF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供应商承接过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同类型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咨询服务项目，每具有1个得2分，最高得12分。注：须提供合同证明文件或批复文件复印件，提供资料不全的不得分。</w:t>
            </w:r>
          </w:p>
        </w:tc>
      </w:tr>
      <w:tr w14:paraId="587516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54" w:type="dxa"/>
            <w:vMerge w:val="continue"/>
            <w:shd w:val="clear" w:color="auto" w:fill="auto"/>
            <w:textDirection w:val="tbLrV"/>
            <w:vAlign w:val="center"/>
          </w:tcPr>
          <w:p w14:paraId="0BC2965E">
            <w:pPr>
              <w:ind w:left="113" w:right="113"/>
              <w:rPr>
                <w:rFonts w:asciiTheme="minorEastAsia" w:hAnsiTheme="minorEastAsia" w:cstheme="minorEastAsia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center"/>
          </w:tcPr>
          <w:p w14:paraId="6DE186A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项目团队 (22分)</w:t>
            </w:r>
          </w:p>
        </w:tc>
        <w:tc>
          <w:tcPr>
            <w:tcW w:w="5475" w:type="dxa"/>
            <w:gridSpan w:val="2"/>
            <w:shd w:val="clear" w:color="auto" w:fill="auto"/>
            <w:vAlign w:val="center"/>
          </w:tcPr>
          <w:p w14:paraId="63728F5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项目负责人：（1）具备高级工程师或以上职称； （2）具备专业注册咨询工程师； 同时具备（1）、（2）项的得10分，仅有其中1项的得5分，其他不得分，本项最高不超过10分。</w:t>
            </w:r>
          </w:p>
          <w:p w14:paraId="4E4CC8A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项目团队成员：（1）具备中级工程师或以上职称；（2）具备专业注册咨询师；每一名成员具备以上其中一项或以上得4分，同一人多项证书不重复计分，本项最高得分不超过12分。</w:t>
            </w:r>
          </w:p>
          <w:p w14:paraId="568C28E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注：需提供职称证书或执业资格证书复印件；提供资料不全的不得分，且需要提供团队成员在报价单位购买6个月或以上的社保证明。</w:t>
            </w:r>
          </w:p>
        </w:tc>
      </w:tr>
      <w:tr w14:paraId="6DE0A1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154" w:type="dxa"/>
            <w:vMerge w:val="restart"/>
            <w:shd w:val="clear" w:color="auto" w:fill="auto"/>
            <w:textDirection w:val="tbLrV"/>
            <w:vAlign w:val="center"/>
          </w:tcPr>
          <w:p w14:paraId="212DD783">
            <w:pPr>
              <w:ind w:left="113" w:right="113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技术部分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02557B0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项目的总体理解与思路 (15分)</w:t>
            </w:r>
          </w:p>
        </w:tc>
        <w:tc>
          <w:tcPr>
            <w:tcW w:w="5475" w:type="dxa"/>
            <w:gridSpan w:val="2"/>
            <w:shd w:val="clear" w:color="auto" w:fill="auto"/>
            <w:vAlign w:val="center"/>
          </w:tcPr>
          <w:p w14:paraId="34BFEAF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①对项目的理解程度深入，对工作目的及意义理解准确，思路清晰，符合采购人需求，框架结构清晰，体系完善，得10-15分； ②对项目的理解程度较深入，对工作目的及意义理解较准确，思路较清晰，基本符合采购人需求，框架结构较清晰，体系基本完善，得5-9分； ③对项目的理解程度不够深入，对工作目的及意义理解不够准确，思路不够清晰，符合部分采购人需求，框架结构简单，体系不够完善，得1-4分； ④其他或无提供，得0分。</w:t>
            </w:r>
          </w:p>
        </w:tc>
      </w:tr>
      <w:tr w14:paraId="0E9201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154" w:type="dxa"/>
            <w:vMerge w:val="continue"/>
            <w:shd w:val="clear" w:color="auto" w:fill="auto"/>
            <w:textDirection w:val="tbLrV"/>
            <w:vAlign w:val="center"/>
          </w:tcPr>
          <w:p w14:paraId="5AB6DADA">
            <w:pPr>
              <w:ind w:left="113" w:right="113"/>
              <w:rPr>
                <w:rFonts w:asciiTheme="minorEastAsia" w:hAnsiTheme="minorEastAsia" w:cstheme="minorEastAsia"/>
                <w:sz w:val="18"/>
                <w:szCs w:val="18"/>
              </w:rPr>
            </w:pPr>
          </w:p>
        </w:tc>
        <w:tc>
          <w:tcPr>
            <w:tcW w:w="2391" w:type="dxa"/>
            <w:shd w:val="clear" w:color="auto" w:fill="auto"/>
            <w:vAlign w:val="center"/>
          </w:tcPr>
          <w:p w14:paraId="1A003E3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服务承诺及质量保证措施 (10分)</w:t>
            </w:r>
          </w:p>
        </w:tc>
        <w:tc>
          <w:tcPr>
            <w:tcW w:w="5475" w:type="dxa"/>
            <w:gridSpan w:val="2"/>
            <w:shd w:val="clear" w:color="auto" w:fill="auto"/>
            <w:vAlign w:val="center"/>
          </w:tcPr>
          <w:p w14:paraId="005BCFB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①提供的服务承诺、质量保证措施和手段、质控体系完整性，能有效保证服务成果，得6-10分； ②提供的服务承诺、质量保证措施和手段、质控体系完整性，能较有效保证服务成果，得5-9分； ③提供的服务承诺、质量保证措施和手段、质控体系完整性，不足以保证服务成果，得1-5分； ④其他或无提供，得0分。</w:t>
            </w:r>
          </w:p>
        </w:tc>
      </w:tr>
      <w:tr w14:paraId="4FF957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4" w:type="dxa"/>
            <w:vMerge w:val="continue"/>
            <w:shd w:val="clear" w:color="auto" w:fill="auto"/>
            <w:textDirection w:val="tbLrV"/>
            <w:vAlign w:val="center"/>
          </w:tcPr>
          <w:p w14:paraId="6F7B10C9">
            <w:pPr>
              <w:ind w:left="113" w:right="113"/>
              <w:rPr>
                <w:rFonts w:asciiTheme="minorEastAsia" w:hAnsiTheme="minorEastAsia" w:cstheme="minorEastAsia"/>
                <w:sz w:val="18"/>
                <w:szCs w:val="18"/>
              </w:rPr>
            </w:pPr>
          </w:p>
        </w:tc>
        <w:tc>
          <w:tcPr>
            <w:tcW w:w="239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F10FF0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服务方案 (15分)</w:t>
            </w:r>
          </w:p>
        </w:tc>
        <w:tc>
          <w:tcPr>
            <w:tcW w:w="5475" w:type="dxa"/>
            <w:gridSpan w:val="2"/>
            <w:shd w:val="clear" w:color="auto" w:fill="auto"/>
            <w:vAlign w:val="center"/>
          </w:tcPr>
          <w:p w14:paraId="04FE951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①对项目要求分析准确，对基本服务、服务内容所做的方案全面、合理，具有可操作性等方面有较突出反映，得11-15分； ②对项目要求分析较准确，对基本服务、服务内容所做的方案较全面、合理、具有可操作性等方面有较好反映，得5-10分； ③对项目要求分析不够准确，对基本服务、服务内容所做的方案不全面、具有可操作性等方面有基础描述，得1-5分； ④其他或无提供，得0分。</w:t>
            </w:r>
          </w:p>
        </w:tc>
      </w:tr>
      <w:tr w14:paraId="0D689B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71" w:hRule="atLeast"/>
        </w:trPr>
        <w:tc>
          <w:tcPr>
            <w:tcW w:w="1154" w:type="dxa"/>
            <w:shd w:val="clear" w:color="auto" w:fill="auto"/>
            <w:vAlign w:val="center"/>
          </w:tcPr>
          <w:p w14:paraId="7850469E">
            <w:pPr>
              <w:ind w:left="113" w:right="113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报价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6A36724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投标报价得分 (20分)</w:t>
            </w:r>
          </w:p>
        </w:tc>
        <w:tc>
          <w:tcPr>
            <w:tcW w:w="5460" w:type="dxa"/>
            <w:shd w:val="clear" w:color="auto" w:fill="auto"/>
            <w:vAlign w:val="center"/>
          </w:tcPr>
          <w:p w14:paraId="0FD7A96F">
            <w:pPr>
              <w:widowControl/>
              <w:shd w:val="clear" w:color="auto" w:fill="FFFFFF"/>
              <w:spacing w:line="360" w:lineRule="auto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  <w:shd w:val="clear" w:color="auto" w:fill="FFFFFF"/>
              </w:rPr>
              <w:t>投标报价高于最高限价的，为无效投标报价。</w:t>
            </w:r>
          </w:p>
          <w:p w14:paraId="62E9ED1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2.在有效投标报价中，以所有报价的平均报价为评标基准价。有效报价每高于基准价1%的，扣2分；有效报价每低于基准价1%的，扣2分；价格分保留小数点后两位数，本项最高得分不超过20分，最低得分不低于0分。</w:t>
            </w:r>
          </w:p>
        </w:tc>
      </w:tr>
    </w:tbl>
    <w:p w14:paraId="64D97A98"/>
    <w:sectPr>
      <w:footerReference r:id="rId3" w:type="default"/>
      <w:pgSz w:w="11906" w:h="16838"/>
      <w:pgMar w:top="1474" w:right="1474" w:bottom="103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04771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B955720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Q4ZjgzZmUxMWY1OWVmMTc0NDNjODNiZjIyMWIyMzAifQ=="/>
    <w:docVar w:name="KGWebUrl" w:val="https://oa.bycoop.com/seeyon/officeservlet"/>
  </w:docVars>
  <w:rsids>
    <w:rsidRoot w:val="2AC813AC"/>
    <w:rsid w:val="007F7F94"/>
    <w:rsid w:val="00D54636"/>
    <w:rsid w:val="00DC113B"/>
    <w:rsid w:val="08282F26"/>
    <w:rsid w:val="2AC813AC"/>
    <w:rsid w:val="34561161"/>
    <w:rsid w:val="43CD225F"/>
    <w:rsid w:val="6B67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semiHidden/>
    <w:unhideWhenUsed/>
    <w:qFormat/>
    <w:uiPriority w:val="99"/>
    <w:pPr>
      <w:spacing w:after="120" w:line="480" w:lineRule="auto"/>
    </w:p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7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1099</Words>
  <Characters>1149</Characters>
  <Lines>8</Lines>
  <Paragraphs>2</Paragraphs>
  <TotalTime>1</TotalTime>
  <ScaleCrop>false</ScaleCrop>
  <LinksUpToDate>false</LinksUpToDate>
  <CharactersWithSpaces>1168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2024-09-09T07:24:00Z</dcterms:created>
  <dc:creator>易安琦</dc:creator>
  <cp:lastModifiedBy>邱静</cp:lastModifiedBy>
  <dcterms:modified xsi:type="dcterms:W3CDTF">2026-05-11T01:27:20Z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BCF95C9AF9CB4299B37D3EFF6BA69E31_13</vt:lpwstr>
  </property>
  <property fmtid="{D5CDD505-2E9C-101B-9397-08002B2CF9AE}" pid="4" name="KSOTemplateDocerSaveRecord">
    <vt:lpwstr>eyJoZGlkIjoiMTNmNWZiYmJiMGE1MDE2MzBmZjhmYzA5Y2VkOGY1MDgiLCJ1c2VySWQiOiI0NzE0NjUwNTMifQ==</vt:lpwstr>
  </property>
</Properties>
</file>